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38" w:rsidRPr="00036A76" w:rsidRDefault="00C7397C" w:rsidP="00F30038">
      <w:pPr>
        <w:pStyle w:val="Heading1"/>
        <w:rPr>
          <w:rFonts w:ascii="Times New Roman" w:hAnsi="Times New Roman"/>
          <w:sz w:val="24"/>
          <w:lang w:val="sl-SI"/>
        </w:rPr>
      </w:pPr>
      <w:r w:rsidRPr="00036A76">
        <w:rPr>
          <w:rFonts w:ascii="Times New Roman" w:hAnsi="Times New Roman"/>
          <w:sz w:val="24"/>
          <w:lang w:val="sl-SI"/>
        </w:rPr>
        <w:t xml:space="preserve">ZATVORENI </w:t>
      </w:r>
      <w:r w:rsidR="00CE097B" w:rsidRPr="00036A76">
        <w:rPr>
          <w:rFonts w:ascii="Times New Roman" w:hAnsi="Times New Roman"/>
          <w:sz w:val="24"/>
          <w:lang w:val="sl-SI"/>
        </w:rPr>
        <w:t>MJEŠOVITI</w:t>
      </w:r>
      <w:r w:rsidR="00990132" w:rsidRPr="00036A76">
        <w:rPr>
          <w:rFonts w:ascii="Times New Roman" w:hAnsi="Times New Roman"/>
          <w:sz w:val="24"/>
          <w:lang w:val="sl-SI"/>
        </w:rPr>
        <w:t xml:space="preserve"> </w:t>
      </w:r>
      <w:r w:rsidR="00F30038" w:rsidRPr="00036A76">
        <w:rPr>
          <w:rFonts w:ascii="Times New Roman" w:hAnsi="Times New Roman"/>
          <w:sz w:val="24"/>
          <w:lang w:val="sl-SI"/>
        </w:rPr>
        <w:t>INVESTICIONI FOND</w:t>
      </w:r>
    </w:p>
    <w:p w:rsidR="00F30038" w:rsidRPr="00036A76" w:rsidRDefault="00F30038" w:rsidP="00F30038">
      <w:pPr>
        <w:ind w:left="0" w:firstLine="0"/>
        <w:jc w:val="center"/>
        <w:rPr>
          <w:rFonts w:eastAsia="Calibri"/>
          <w:b/>
          <w:lang w:val="sl-SI"/>
        </w:rPr>
      </w:pPr>
      <w:r w:rsidRPr="00036A76">
        <w:rPr>
          <w:rFonts w:eastAsia="Calibri"/>
          <w:b/>
          <w:lang w:val="sl-SI"/>
        </w:rPr>
        <w:t>SA JAVNOM PONUDOM</w:t>
      </w:r>
      <w:r w:rsidR="00990132" w:rsidRPr="00036A76">
        <w:rPr>
          <w:rFonts w:eastAsia="Calibri"/>
          <w:b/>
          <w:lang w:val="sl-SI"/>
        </w:rPr>
        <w:t xml:space="preserve"> U PREOBLIKOVANJU</w:t>
      </w:r>
    </w:p>
    <w:p w:rsidR="00F30038" w:rsidRPr="00036A76" w:rsidRDefault="00F30038" w:rsidP="00F30038">
      <w:pPr>
        <w:jc w:val="center"/>
        <w:rPr>
          <w:rFonts w:eastAsia="Calibri"/>
          <w:lang w:val="sr-Cyrl-CS"/>
        </w:rPr>
      </w:pPr>
    </w:p>
    <w:p w:rsidR="00F30038" w:rsidRPr="00036A76" w:rsidRDefault="00F30038" w:rsidP="00F30038">
      <w:pPr>
        <w:ind w:left="0" w:firstLine="0"/>
        <w:jc w:val="center"/>
        <w:rPr>
          <w:rFonts w:eastAsia="Calibri"/>
          <w:b/>
          <w:lang w:val="sr-Latn-BA"/>
        </w:rPr>
      </w:pPr>
      <w:r w:rsidRPr="00036A76">
        <w:rPr>
          <w:rFonts w:eastAsia="Calibri"/>
          <w:lang w:val="sr-Cyrl-CS"/>
        </w:rPr>
        <w:t>"</w:t>
      </w:r>
      <w:r w:rsidRPr="00036A76">
        <w:rPr>
          <w:rFonts w:eastAsia="Calibri"/>
          <w:b/>
          <w:lang w:val="sl-SI"/>
        </w:rPr>
        <w:t>INVEST NOVA FOND</w:t>
      </w:r>
      <w:r w:rsidRPr="00036A76">
        <w:rPr>
          <w:rFonts w:eastAsia="Calibri"/>
          <w:b/>
          <w:lang w:val="sr-Cyrl-CS"/>
        </w:rPr>
        <w:t xml:space="preserve">" </w:t>
      </w:r>
      <w:r w:rsidRPr="00036A76">
        <w:rPr>
          <w:rFonts w:eastAsia="Calibri"/>
          <w:b/>
          <w:lang w:val="sr-Latn-BA"/>
        </w:rPr>
        <w:t>AD</w:t>
      </w:r>
    </w:p>
    <w:p w:rsidR="00F30038" w:rsidRPr="00036A76" w:rsidRDefault="00F30038" w:rsidP="00F30038">
      <w:pPr>
        <w:ind w:left="0" w:firstLine="0"/>
        <w:jc w:val="center"/>
        <w:rPr>
          <w:rFonts w:eastAsia="Calibri"/>
          <w:b/>
          <w:lang w:val="sr-Cyrl-CS"/>
        </w:rPr>
      </w:pPr>
      <w:r w:rsidRPr="00036A76">
        <w:rPr>
          <w:rFonts w:eastAsia="Calibri"/>
          <w:b/>
          <w:lang w:val="sl-SI"/>
        </w:rPr>
        <w:t>Bijeljina</w:t>
      </w:r>
      <w:r w:rsidRPr="00036A76">
        <w:rPr>
          <w:rFonts w:eastAsia="Calibri"/>
          <w:b/>
          <w:lang w:val="sr-Cyrl-CS"/>
        </w:rPr>
        <w:t xml:space="preserve">, </w:t>
      </w:r>
      <w:r w:rsidR="00F74180" w:rsidRPr="00036A76">
        <w:rPr>
          <w:rFonts w:eastAsia="Calibri"/>
          <w:b/>
          <w:lang w:val="sl-SI"/>
        </w:rPr>
        <w:t>u</w:t>
      </w:r>
      <w:r w:rsidRPr="00036A76">
        <w:rPr>
          <w:rFonts w:eastAsia="Calibri"/>
          <w:b/>
          <w:lang w:val="sl-SI"/>
        </w:rPr>
        <w:t>l</w:t>
      </w:r>
      <w:r w:rsidRPr="00036A76">
        <w:rPr>
          <w:rFonts w:eastAsia="Calibri"/>
          <w:b/>
          <w:lang w:val="sr-Cyrl-CS"/>
        </w:rPr>
        <w:t xml:space="preserve">. </w:t>
      </w:r>
      <w:r w:rsidRPr="00036A76">
        <w:rPr>
          <w:rFonts w:eastAsia="Calibri"/>
          <w:b/>
          <w:lang w:val="sl-SI"/>
        </w:rPr>
        <w:t xml:space="preserve">Gavrila Principa </w:t>
      </w:r>
      <w:r w:rsidR="00C61DA4" w:rsidRPr="00036A76">
        <w:rPr>
          <w:rFonts w:eastAsia="Calibri"/>
          <w:b/>
          <w:lang w:val="sl-SI"/>
        </w:rPr>
        <w:t xml:space="preserve">br. </w:t>
      </w:r>
      <w:r w:rsidRPr="00036A76">
        <w:rPr>
          <w:rFonts w:eastAsia="Calibri"/>
          <w:b/>
          <w:lang w:val="sl-SI"/>
        </w:rPr>
        <w:t>11</w:t>
      </w:r>
      <w:r w:rsidRPr="00036A76">
        <w:rPr>
          <w:rFonts w:eastAsia="Calibri"/>
          <w:b/>
          <w:lang w:val="sr-Cyrl-CS"/>
        </w:rPr>
        <w:t>.</w:t>
      </w:r>
    </w:p>
    <w:p w:rsidR="00F30038" w:rsidRPr="00036A76" w:rsidRDefault="00F30038" w:rsidP="00F30038">
      <w:pPr>
        <w:jc w:val="cente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jc w:val="cente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rPr>
          <w:rFonts w:eastAsia="Calibri"/>
          <w:lang w:val="sr-Cyrl-CS"/>
        </w:rPr>
      </w:pPr>
    </w:p>
    <w:p w:rsidR="00F30038" w:rsidRPr="00036A76" w:rsidRDefault="00F30038" w:rsidP="00F30038">
      <w:pPr>
        <w:rPr>
          <w:rFonts w:eastAsia="Calibri"/>
          <w:lang w:val="sr-Cyrl-CS"/>
        </w:rPr>
      </w:pPr>
    </w:p>
    <w:p w:rsidR="005B09CC" w:rsidRPr="00036A76" w:rsidRDefault="00F30038" w:rsidP="005B09CC">
      <w:pPr>
        <w:pStyle w:val="Heading7"/>
        <w:jc w:val="center"/>
        <w:rPr>
          <w:rFonts w:ascii="Times New Roman" w:eastAsia="Times New Roman" w:hAnsi="Times New Roman" w:cs="Times New Roman"/>
          <w:b/>
          <w:i w:val="0"/>
          <w:color w:val="auto"/>
        </w:rPr>
      </w:pPr>
      <w:r w:rsidRPr="00036A76">
        <w:rPr>
          <w:rFonts w:ascii="Times New Roman" w:eastAsia="Times New Roman" w:hAnsi="Times New Roman" w:cs="Times New Roman"/>
          <w:b/>
          <w:i w:val="0"/>
          <w:color w:val="auto"/>
        </w:rPr>
        <w:t>PROSPEKT</w:t>
      </w:r>
      <w:r w:rsidR="005B09CC" w:rsidRPr="00036A76">
        <w:rPr>
          <w:rFonts w:ascii="Times New Roman" w:eastAsia="Times New Roman" w:hAnsi="Times New Roman" w:cs="Times New Roman"/>
          <w:b/>
          <w:i w:val="0"/>
          <w:color w:val="auto"/>
        </w:rPr>
        <w:t xml:space="preserve"> </w:t>
      </w:r>
    </w:p>
    <w:p w:rsidR="00F30038" w:rsidRPr="00036A76" w:rsidRDefault="00DB2E4D" w:rsidP="005B09CC">
      <w:pPr>
        <w:jc w:val="center"/>
        <w:rPr>
          <w:b/>
        </w:rPr>
      </w:pPr>
      <w:r>
        <w:rPr>
          <w:rFonts w:eastAsia="Calibri"/>
          <w:b/>
          <w:lang w:val="sl-SI"/>
        </w:rPr>
        <w:t>Z</w:t>
      </w:r>
      <w:r w:rsidR="00F30038" w:rsidRPr="00036A76">
        <w:rPr>
          <w:rFonts w:eastAsia="Calibri"/>
          <w:b/>
          <w:lang w:val="sl-SI"/>
        </w:rPr>
        <w:t xml:space="preserve">atvorenog </w:t>
      </w:r>
      <w:r w:rsidR="00CE097B" w:rsidRPr="00036A76">
        <w:rPr>
          <w:rFonts w:eastAsia="Calibri"/>
          <w:b/>
          <w:lang w:val="sl-SI"/>
        </w:rPr>
        <w:t>mješovitog</w:t>
      </w:r>
      <w:r w:rsidR="00990132" w:rsidRPr="00036A76">
        <w:rPr>
          <w:rFonts w:eastAsia="Calibri"/>
          <w:b/>
          <w:lang w:val="sl-SI"/>
        </w:rPr>
        <w:t xml:space="preserve"> </w:t>
      </w:r>
      <w:r w:rsidR="00F30038" w:rsidRPr="00036A76">
        <w:rPr>
          <w:rFonts w:eastAsia="Calibri"/>
          <w:b/>
          <w:lang w:val="sl-SI"/>
        </w:rPr>
        <w:t>investicionog fonda</w:t>
      </w:r>
      <w:r w:rsidR="00F30038" w:rsidRPr="00036A76">
        <w:rPr>
          <w:rFonts w:eastAsia="Calibri"/>
          <w:b/>
          <w:lang w:val="sr-Cyrl-CS"/>
        </w:rPr>
        <w:t xml:space="preserve"> </w:t>
      </w:r>
      <w:r w:rsidR="00F30038" w:rsidRPr="00036A76">
        <w:rPr>
          <w:rFonts w:eastAsia="Calibri"/>
          <w:b/>
          <w:lang w:val="sl-SI"/>
        </w:rPr>
        <w:t>sa javnom ponudom</w:t>
      </w:r>
      <w:r w:rsidR="00990132" w:rsidRPr="00036A76">
        <w:rPr>
          <w:rFonts w:eastAsia="Calibri"/>
          <w:b/>
          <w:lang w:val="sl-SI"/>
        </w:rPr>
        <w:t xml:space="preserve"> u preoblikovanju </w:t>
      </w:r>
    </w:p>
    <w:p w:rsidR="00F30038" w:rsidRPr="00036A76" w:rsidRDefault="00F30038" w:rsidP="00F30038">
      <w:pPr>
        <w:jc w:val="center"/>
        <w:rPr>
          <w:rFonts w:eastAsia="Calibri"/>
          <w:b/>
          <w:lang w:val="sr-Latn-BA"/>
        </w:rPr>
      </w:pPr>
      <w:r w:rsidRPr="00036A76">
        <w:rPr>
          <w:rFonts w:eastAsia="Calibri"/>
          <w:b/>
          <w:lang w:val="sr-Cyrl-CS"/>
        </w:rPr>
        <w:t>"</w:t>
      </w:r>
      <w:r w:rsidRPr="00036A76">
        <w:rPr>
          <w:rFonts w:eastAsia="Calibri"/>
          <w:b/>
          <w:lang w:val="sl-SI"/>
        </w:rPr>
        <w:t>Invest nova fond</w:t>
      </w:r>
      <w:r w:rsidRPr="00036A76">
        <w:rPr>
          <w:rFonts w:eastAsia="Calibri"/>
          <w:b/>
          <w:lang w:val="sr-Cyrl-CS"/>
        </w:rPr>
        <w:t>"</w:t>
      </w:r>
      <w:r w:rsidRPr="00036A76">
        <w:rPr>
          <w:rFonts w:eastAsia="Calibri"/>
          <w:b/>
          <w:lang w:val="sr-Latn-BA"/>
        </w:rPr>
        <w:t xml:space="preserve"> </w:t>
      </w:r>
      <w:r w:rsidRPr="00036A76">
        <w:rPr>
          <w:rFonts w:eastAsia="Calibri"/>
          <w:b/>
          <w:lang w:val="sr-Cyrl-CS"/>
        </w:rPr>
        <w:t>а.</w:t>
      </w:r>
      <w:r w:rsidRPr="00036A76">
        <w:rPr>
          <w:rFonts w:eastAsia="Calibri"/>
          <w:b/>
          <w:lang w:val="sl-SI"/>
        </w:rPr>
        <w:t>d</w:t>
      </w:r>
      <w:r w:rsidRPr="00036A76">
        <w:rPr>
          <w:rFonts w:eastAsia="Calibri"/>
          <w:b/>
          <w:lang w:val="sr-Cyrl-CS"/>
        </w:rPr>
        <w:t>.</w:t>
      </w:r>
      <w:r w:rsidR="007C0312" w:rsidRPr="00036A76">
        <w:rPr>
          <w:rFonts w:eastAsia="Calibri"/>
          <w:b/>
          <w:lang w:val="sr-Latn-BA"/>
        </w:rPr>
        <w:t xml:space="preserve"> Bijeljina </w:t>
      </w:r>
    </w:p>
    <w:p w:rsidR="00FE1D7B" w:rsidRPr="00036A76" w:rsidRDefault="00FE1D7B" w:rsidP="00F30038">
      <w:pPr>
        <w:jc w:val="center"/>
        <w:rPr>
          <w:rFonts w:eastAsia="Calibri"/>
          <w:lang w:val="sr-Latn-BA"/>
        </w:rPr>
      </w:pPr>
    </w:p>
    <w:p w:rsidR="00F30038" w:rsidRPr="00036A76" w:rsidRDefault="00F30038" w:rsidP="00F30038">
      <w:pPr>
        <w:jc w:val="center"/>
        <w:rPr>
          <w:rFonts w:eastAsia="Calibri"/>
          <w:lang w:val="sr-Latn-BA"/>
        </w:rPr>
      </w:pPr>
    </w:p>
    <w:p w:rsidR="00F30038" w:rsidRPr="00036A76" w:rsidRDefault="00F30038" w:rsidP="00F30038">
      <w:pPr>
        <w:jc w:val="center"/>
        <w:rPr>
          <w:rFonts w:eastAsia="Calibri"/>
          <w:lang w:val="sr-Cyrl-CS"/>
        </w:rPr>
      </w:pPr>
    </w:p>
    <w:p w:rsidR="00F30038" w:rsidRPr="00036A76" w:rsidRDefault="00F30038" w:rsidP="00F30038">
      <w:pPr>
        <w:jc w:val="center"/>
        <w:rPr>
          <w:rFonts w:ascii="Arial" w:eastAsia="Calibri" w:hAnsi="Arial"/>
          <w:sz w:val="22"/>
          <w:lang w:val="sr-Cyrl-CS"/>
        </w:rPr>
      </w:pPr>
    </w:p>
    <w:p w:rsidR="00F30038" w:rsidRPr="00036A76" w:rsidRDefault="00F30038" w:rsidP="00F30038">
      <w:pPr>
        <w:jc w:val="center"/>
        <w:rPr>
          <w:rFonts w:ascii="Arial" w:eastAsia="Calibri" w:hAnsi="Arial"/>
          <w:lang w:val="sl-SI"/>
        </w:rPr>
      </w:pPr>
    </w:p>
    <w:p w:rsidR="00F30038" w:rsidRPr="00036A76" w:rsidRDefault="00F30038" w:rsidP="00F30038">
      <w:pPr>
        <w:pStyle w:val="Heading3"/>
        <w:rPr>
          <w:rFonts w:ascii="Arial" w:hAnsi="Arial"/>
          <w:sz w:val="22"/>
        </w:rPr>
      </w:pPr>
    </w:p>
    <w:p w:rsidR="00F30038" w:rsidRPr="00036A76" w:rsidRDefault="00F30038" w:rsidP="00F30038">
      <w:pPr>
        <w:pStyle w:val="Heading3"/>
        <w:rPr>
          <w:rFonts w:ascii="Arial" w:hAnsi="Arial"/>
          <w:sz w:val="22"/>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rPr>
          <w:rFonts w:ascii="Arial" w:eastAsia="Calibri" w:hAnsi="Arial"/>
          <w:sz w:val="22"/>
          <w:lang w:val="sr-Cyrl-CS"/>
        </w:rPr>
      </w:pPr>
    </w:p>
    <w:p w:rsidR="00F30038" w:rsidRPr="00036A76" w:rsidRDefault="00F30038" w:rsidP="00F30038">
      <w:pPr>
        <w:pStyle w:val="Heading3"/>
        <w:rPr>
          <w:rFonts w:ascii="Arial" w:hAnsi="Arial"/>
          <w:sz w:val="22"/>
        </w:rPr>
      </w:pPr>
    </w:p>
    <w:p w:rsidR="00F30038" w:rsidRPr="00036A76" w:rsidRDefault="00F30038" w:rsidP="00F30038">
      <w:pPr>
        <w:rPr>
          <w:rFonts w:ascii="Arial" w:eastAsia="Calibri" w:hAnsi="Arial"/>
          <w:sz w:val="22"/>
          <w:lang w:val="sr-Cyrl-CS"/>
        </w:rPr>
      </w:pPr>
    </w:p>
    <w:p w:rsidR="00F30038" w:rsidRPr="00036A76" w:rsidRDefault="00F30038" w:rsidP="005B09CC">
      <w:pPr>
        <w:ind w:left="0" w:firstLine="0"/>
        <w:jc w:val="center"/>
        <w:rPr>
          <w:lang w:val="sl-SI"/>
        </w:rPr>
      </w:pPr>
      <w:r w:rsidRPr="00036A76">
        <w:rPr>
          <w:rFonts w:eastAsia="Calibri"/>
          <w:lang w:val="sl-SI"/>
        </w:rPr>
        <w:t>Bijeljina</w:t>
      </w:r>
      <w:r w:rsidRPr="00036A76">
        <w:rPr>
          <w:rFonts w:eastAsia="Calibri"/>
          <w:lang w:val="sr-Cyrl-CS"/>
        </w:rPr>
        <w:t xml:space="preserve">, </w:t>
      </w:r>
      <w:r w:rsidR="00D23439" w:rsidRPr="00036A76">
        <w:rPr>
          <w:rFonts w:eastAsia="Calibri"/>
          <w:lang w:val="sr-Latn-BA"/>
        </w:rPr>
        <w:t>avgust</w:t>
      </w:r>
      <w:r w:rsidR="001C43DC" w:rsidRPr="00036A76">
        <w:rPr>
          <w:rFonts w:eastAsia="Calibri"/>
          <w:lang w:val="sr-Latn-BA"/>
        </w:rPr>
        <w:t xml:space="preserve"> 2017</w:t>
      </w:r>
      <w:r w:rsidRPr="00036A76">
        <w:rPr>
          <w:rFonts w:eastAsia="Calibri"/>
          <w:lang w:val="sr-Cyrl-CS"/>
        </w:rPr>
        <w:t xml:space="preserve">. </w:t>
      </w:r>
      <w:r w:rsidRPr="00036A76">
        <w:rPr>
          <w:lang w:val="sr-Latn-BA"/>
        </w:rPr>
        <w:t>g</w:t>
      </w:r>
      <w:r w:rsidRPr="00036A76">
        <w:rPr>
          <w:rFonts w:eastAsia="Calibri"/>
          <w:lang w:val="sl-SI"/>
        </w:rPr>
        <w:t>odine</w:t>
      </w:r>
    </w:p>
    <w:p w:rsidR="00F30038" w:rsidRPr="00036A76" w:rsidRDefault="00F30038" w:rsidP="00F30038">
      <w:pPr>
        <w:ind w:left="0" w:firstLine="0"/>
        <w:contextualSpacing/>
        <w:jc w:val="center"/>
        <w:rPr>
          <w:rFonts w:eastAsia="Calibri"/>
          <w:lang w:val="sl-SI"/>
        </w:rPr>
      </w:pPr>
    </w:p>
    <w:p w:rsidR="00F30038" w:rsidRPr="00036A76" w:rsidRDefault="00E37E92" w:rsidP="00F553CF">
      <w:pPr>
        <w:pStyle w:val="ListParagraph"/>
        <w:numPr>
          <w:ilvl w:val="0"/>
          <w:numId w:val="8"/>
        </w:numPr>
        <w:jc w:val="left"/>
        <w:rPr>
          <w:rFonts w:eastAsia="Calibri"/>
          <w:b/>
          <w:bCs/>
          <w:lang w:val="sl-SI"/>
        </w:rPr>
      </w:pPr>
      <w:r w:rsidRPr="00036A76">
        <w:rPr>
          <w:rFonts w:eastAsia="Calibri"/>
          <w:b/>
          <w:bCs/>
          <w:lang w:val="sl-SI"/>
        </w:rPr>
        <w:t>ODGOVORNA LICA</w:t>
      </w:r>
      <w:r w:rsidR="00A86930" w:rsidRPr="00036A76">
        <w:rPr>
          <w:rFonts w:eastAsia="Calibri"/>
          <w:b/>
          <w:bCs/>
          <w:lang w:val="sl-SI"/>
        </w:rPr>
        <w:t xml:space="preserve">        </w:t>
      </w:r>
    </w:p>
    <w:p w:rsidR="00F30038" w:rsidRPr="00036A76" w:rsidRDefault="00F30038" w:rsidP="00F30038">
      <w:pPr>
        <w:ind w:left="3600" w:hanging="3600"/>
        <w:jc w:val="center"/>
        <w:rPr>
          <w:rFonts w:eastAsia="Calibri"/>
          <w:b/>
          <w:bCs/>
          <w:lang w:val="sl-SI"/>
        </w:rPr>
      </w:pPr>
    </w:p>
    <w:p w:rsidR="00F30038" w:rsidRPr="00036A76" w:rsidRDefault="00F74180" w:rsidP="00F30038">
      <w:pPr>
        <w:ind w:left="0" w:firstLine="0"/>
        <w:contextualSpacing/>
        <w:rPr>
          <w:rFonts w:eastAsia="Calibri"/>
          <w:lang w:val="sl-SI"/>
        </w:rPr>
      </w:pPr>
      <w:r w:rsidRPr="00036A76">
        <w:rPr>
          <w:rFonts w:eastAsia="Calibri"/>
          <w:lang w:val="sl-SI"/>
        </w:rPr>
        <w:t>Prospekt z</w:t>
      </w:r>
      <w:r w:rsidR="00F30038" w:rsidRPr="00036A76">
        <w:rPr>
          <w:rFonts w:eastAsia="Calibri"/>
          <w:lang w:val="sl-SI"/>
        </w:rPr>
        <w:t>atvorenog</w:t>
      </w:r>
      <w:r w:rsidR="007E0ECA" w:rsidRPr="00036A76">
        <w:rPr>
          <w:rFonts w:eastAsia="Calibri"/>
          <w:lang w:val="sl-SI"/>
        </w:rPr>
        <w:t xml:space="preserve"> mješovitog</w:t>
      </w:r>
      <w:r w:rsidRPr="00036A76">
        <w:rPr>
          <w:rFonts w:eastAsia="Calibri"/>
          <w:lang w:val="sl-SI"/>
        </w:rPr>
        <w:t xml:space="preserve"> investicionog F</w:t>
      </w:r>
      <w:r w:rsidR="00F30038" w:rsidRPr="00036A76">
        <w:rPr>
          <w:rFonts w:eastAsia="Calibri"/>
          <w:lang w:val="sl-SI"/>
        </w:rPr>
        <w:t>onda sa javnom ponudom predstav</w:t>
      </w:r>
      <w:r w:rsidRPr="00036A76">
        <w:rPr>
          <w:rFonts w:eastAsia="Calibri"/>
          <w:lang w:val="sl-SI"/>
        </w:rPr>
        <w:t>lja poziv za kupovinu akcija u z</w:t>
      </w:r>
      <w:r w:rsidR="00F30038" w:rsidRPr="00036A76">
        <w:rPr>
          <w:rFonts w:eastAsia="Calibri"/>
          <w:lang w:val="sl-SI"/>
        </w:rPr>
        <w:t xml:space="preserve">atvorenom </w:t>
      </w:r>
      <w:r w:rsidR="00CE097B" w:rsidRPr="00036A76">
        <w:rPr>
          <w:rFonts w:eastAsia="Calibri"/>
          <w:lang w:val="sl-SI"/>
        </w:rPr>
        <w:t>mješovitom</w:t>
      </w:r>
      <w:r w:rsidR="00990132" w:rsidRPr="00036A76">
        <w:rPr>
          <w:rFonts w:eastAsia="Calibri"/>
          <w:lang w:val="sl-SI"/>
        </w:rPr>
        <w:t xml:space="preserve"> </w:t>
      </w:r>
      <w:r w:rsidRPr="00036A76">
        <w:rPr>
          <w:rFonts w:eastAsia="Calibri"/>
          <w:lang w:val="sl-SI"/>
        </w:rPr>
        <w:t>investicionom f</w:t>
      </w:r>
      <w:r w:rsidR="00F30038" w:rsidRPr="00036A76">
        <w:rPr>
          <w:rFonts w:eastAsia="Calibri"/>
          <w:lang w:val="sl-SI"/>
        </w:rPr>
        <w:t>ondu sa javnom ponudom</w:t>
      </w:r>
      <w:r w:rsidR="00F30038" w:rsidRPr="00036A76">
        <w:rPr>
          <w:lang w:val="sl-SI"/>
        </w:rPr>
        <w:t xml:space="preserve"> </w:t>
      </w:r>
      <w:r w:rsidR="00990132" w:rsidRPr="00036A76">
        <w:rPr>
          <w:lang w:val="sl-SI"/>
        </w:rPr>
        <w:t xml:space="preserve">u preoblikovanju </w:t>
      </w:r>
      <w:r w:rsidR="00F30038" w:rsidRPr="00036A76">
        <w:rPr>
          <w:rFonts w:eastAsia="Calibri"/>
          <w:bCs/>
          <w:lang w:val="sr-Cyrl-CS"/>
        </w:rPr>
        <w:t>"</w:t>
      </w:r>
      <w:r w:rsidR="00F30038" w:rsidRPr="00036A76">
        <w:rPr>
          <w:rFonts w:eastAsia="Calibri"/>
          <w:lang w:val="sl-SI"/>
        </w:rPr>
        <w:t>Invest nova fond</w:t>
      </w:r>
      <w:r w:rsidR="00F30038" w:rsidRPr="00036A76">
        <w:rPr>
          <w:rFonts w:eastAsia="Calibri"/>
          <w:bCs/>
          <w:lang w:val="sr-Cyrl-CS"/>
        </w:rPr>
        <w:t>"</w:t>
      </w:r>
      <w:r w:rsidR="00F30038" w:rsidRPr="00036A76">
        <w:rPr>
          <w:rFonts w:eastAsia="Calibri"/>
          <w:lang w:val="sl-SI"/>
        </w:rPr>
        <w:t xml:space="preserve"> a.d. Bijeljina, (u daljem tekstu: Fond).</w:t>
      </w:r>
    </w:p>
    <w:p w:rsidR="00F30038" w:rsidRPr="00036A76" w:rsidRDefault="00F30038" w:rsidP="00F30038">
      <w:pPr>
        <w:ind w:left="0" w:firstLine="0"/>
        <w:contextualSpacing/>
        <w:rPr>
          <w:rFonts w:eastAsia="Calibri"/>
          <w:lang w:val="sl-SI"/>
        </w:rPr>
      </w:pPr>
      <w:r w:rsidRPr="00036A76">
        <w:rPr>
          <w:rFonts w:eastAsia="Calibri"/>
          <w:lang w:val="sl-SI"/>
        </w:rPr>
        <w:t>Prospekt sadrži one podatke i informacije na osnovu kojih će inve</w:t>
      </w:r>
      <w:r w:rsidR="00F74180" w:rsidRPr="00036A76">
        <w:rPr>
          <w:rFonts w:eastAsia="Calibri"/>
          <w:lang w:val="sl-SI"/>
        </w:rPr>
        <w:t>stitori stvoriti potpun stav o zatvorenom investicionom F</w:t>
      </w:r>
      <w:r w:rsidRPr="00036A76">
        <w:rPr>
          <w:rFonts w:eastAsia="Calibri"/>
          <w:lang w:val="sl-SI"/>
        </w:rPr>
        <w:t>ondu sa javnom ponudom, o rizicima povezanim sa prirodom Fonda i njegovog portfelja.</w:t>
      </w:r>
    </w:p>
    <w:p w:rsidR="00F30038" w:rsidRPr="00036A76" w:rsidRDefault="00F30038" w:rsidP="00F30038">
      <w:pPr>
        <w:ind w:left="0" w:firstLine="0"/>
        <w:contextualSpacing/>
        <w:rPr>
          <w:rFonts w:eastAsia="Calibri"/>
          <w:lang w:val="sl-SI"/>
        </w:rPr>
      </w:pPr>
      <w:r w:rsidRPr="00036A76">
        <w:rPr>
          <w:rFonts w:eastAsia="Calibri"/>
          <w:lang w:val="sl-SI"/>
        </w:rPr>
        <w:t>Prije</w:t>
      </w:r>
      <w:r w:rsidR="00C50122" w:rsidRPr="00036A76">
        <w:rPr>
          <w:rFonts w:eastAsia="Calibri"/>
          <w:lang w:val="sl-SI"/>
        </w:rPr>
        <w:t xml:space="preserve"> donošenja odluke o ulaganju u F</w:t>
      </w:r>
      <w:r w:rsidRPr="00036A76">
        <w:rPr>
          <w:rFonts w:eastAsia="Calibri"/>
          <w:lang w:val="sl-SI"/>
        </w:rPr>
        <w:t>ond potencijalni investitori se poziv</w:t>
      </w:r>
      <w:r w:rsidR="00C50122" w:rsidRPr="00036A76">
        <w:rPr>
          <w:rFonts w:eastAsia="Calibri"/>
          <w:lang w:val="sl-SI"/>
        </w:rPr>
        <w:t>aju da pročitaju ovaj Prospekt Fonda i Statut F</w:t>
      </w:r>
      <w:r w:rsidRPr="00036A76">
        <w:rPr>
          <w:rFonts w:eastAsia="Calibri"/>
          <w:lang w:val="sl-SI"/>
        </w:rPr>
        <w:t>onda, kako bi se inf</w:t>
      </w:r>
      <w:r w:rsidR="00C50122" w:rsidRPr="00036A76">
        <w:rPr>
          <w:rFonts w:eastAsia="Calibri"/>
          <w:lang w:val="sl-SI"/>
        </w:rPr>
        <w:t>ormisali o prirodi i karakteru F</w:t>
      </w:r>
      <w:r w:rsidRPr="00036A76">
        <w:rPr>
          <w:rFonts w:eastAsia="Calibri"/>
          <w:lang w:val="sl-SI"/>
        </w:rPr>
        <w:t>onda, kao i</w:t>
      </w:r>
      <w:r w:rsidR="00F74180" w:rsidRPr="00036A76">
        <w:rPr>
          <w:rFonts w:eastAsia="Calibri"/>
          <w:lang w:val="sl-SI"/>
        </w:rPr>
        <w:t xml:space="preserve"> o mogućim rizicima ulaganja u z</w:t>
      </w:r>
      <w:r w:rsidRPr="00036A76">
        <w:rPr>
          <w:rFonts w:eastAsia="Calibri"/>
          <w:lang w:val="sl-SI"/>
        </w:rPr>
        <w:t>atvo</w:t>
      </w:r>
      <w:r w:rsidR="00F74180" w:rsidRPr="00036A76">
        <w:rPr>
          <w:rFonts w:eastAsia="Calibri"/>
          <w:lang w:val="sl-SI"/>
        </w:rPr>
        <w:t>reni investicioni F</w:t>
      </w:r>
      <w:r w:rsidRPr="00036A76">
        <w:rPr>
          <w:rFonts w:eastAsia="Calibri"/>
          <w:lang w:val="sl-SI"/>
        </w:rPr>
        <w:t>ond sa javnom ponudom.</w:t>
      </w:r>
    </w:p>
    <w:p w:rsidR="00F30038" w:rsidRPr="00036A76" w:rsidRDefault="00F30038" w:rsidP="00F30038">
      <w:pPr>
        <w:autoSpaceDE w:val="0"/>
        <w:autoSpaceDN w:val="0"/>
        <w:adjustRightInd w:val="0"/>
        <w:ind w:left="0" w:firstLine="0"/>
        <w:contextualSpacing/>
        <w:jc w:val="left"/>
      </w:pPr>
    </w:p>
    <w:p w:rsidR="007C2A08" w:rsidRPr="00036A76" w:rsidRDefault="007C2A08" w:rsidP="007C2A08">
      <w:pPr>
        <w:ind w:left="0" w:firstLine="0"/>
        <w:rPr>
          <w:rFonts w:eastAsia="Calibri"/>
        </w:rPr>
      </w:pPr>
      <w:r w:rsidRPr="00036A76">
        <w:t>Izjava odgovornih lica:</w:t>
      </w:r>
    </w:p>
    <w:p w:rsidR="007C2A08" w:rsidRPr="00036A76" w:rsidRDefault="007C2A08" w:rsidP="007C2A08">
      <w:pPr>
        <w:ind w:left="0" w:firstLine="0"/>
        <w:contextualSpacing/>
      </w:pPr>
      <w:r w:rsidRPr="00036A76">
        <w:t>“Preduzevši sve potrebne mjere, izjavljujemo da su, prema našim saznanjima, informacije u Dokumentu o registraciji u skladu sa činjenicama, kao i da nisu izostavljene činjenice koje bi mogle da utiču na istinitost i potpunost Prospekta.”</w:t>
      </w:r>
    </w:p>
    <w:p w:rsidR="00F30038" w:rsidRPr="00036A76" w:rsidRDefault="00F30038" w:rsidP="00F30038">
      <w:pPr>
        <w:autoSpaceDE w:val="0"/>
        <w:autoSpaceDN w:val="0"/>
        <w:adjustRightInd w:val="0"/>
        <w:ind w:left="0" w:firstLine="0"/>
        <w:contextualSpacing/>
        <w:jc w:val="left"/>
        <w:rPr>
          <w:rFonts w:eastAsia="Calibri"/>
        </w:rPr>
      </w:pPr>
    </w:p>
    <w:p w:rsidR="00F30038" w:rsidRPr="00036A76" w:rsidRDefault="00F30038" w:rsidP="00F30038">
      <w:pPr>
        <w:autoSpaceDE w:val="0"/>
        <w:autoSpaceDN w:val="0"/>
        <w:adjustRightInd w:val="0"/>
        <w:ind w:left="0" w:firstLine="0"/>
        <w:contextualSpacing/>
        <w:jc w:val="left"/>
        <w:rPr>
          <w:rFonts w:eastAsia="Calibri"/>
        </w:rPr>
      </w:pPr>
    </w:p>
    <w:p w:rsidR="00903EE9" w:rsidRPr="00036A76" w:rsidRDefault="00903EE9" w:rsidP="00F30038">
      <w:pPr>
        <w:rPr>
          <w:rFonts w:eastAsia="Calibri"/>
          <w:lang w:val="sl-SI"/>
        </w:rPr>
      </w:pPr>
    </w:p>
    <w:p w:rsidR="008A455F" w:rsidRDefault="008A455F" w:rsidP="008A455F">
      <w:pPr>
        <w:tabs>
          <w:tab w:val="left" w:pos="990"/>
        </w:tabs>
        <w:ind w:hanging="1080"/>
        <w:rPr>
          <w:lang w:val="sr-Latn-BA"/>
        </w:rPr>
      </w:pPr>
      <w:r>
        <w:rPr>
          <w:lang w:val="sr-Latn-BA"/>
        </w:rPr>
        <w:t>Izvršni direktor Društva za upravljanje                               Izvršni direktor Društva za upravljanje</w:t>
      </w:r>
    </w:p>
    <w:p w:rsidR="008A455F" w:rsidRDefault="008A455F" w:rsidP="008A455F">
      <w:pPr>
        <w:rPr>
          <w:lang w:val="sr-Latn-BA"/>
        </w:rPr>
      </w:pPr>
      <w:r>
        <w:rPr>
          <w:lang w:val="sr-Latn-BA"/>
        </w:rPr>
        <w:t xml:space="preserve">                     Stevan Radić</w:t>
      </w:r>
      <w:r>
        <w:rPr>
          <w:lang w:val="sr-Latn-BA"/>
        </w:rPr>
        <w:tab/>
      </w:r>
      <w:r>
        <w:rPr>
          <w:lang w:val="sr-Latn-BA"/>
        </w:rPr>
        <w:tab/>
      </w:r>
      <w:r>
        <w:rPr>
          <w:lang w:val="sr-Latn-BA"/>
        </w:rPr>
        <w:tab/>
      </w:r>
      <w:r>
        <w:rPr>
          <w:lang w:val="sr-Latn-BA"/>
        </w:rPr>
        <w:tab/>
      </w:r>
      <w:r>
        <w:rPr>
          <w:lang w:val="sr-Latn-BA"/>
        </w:rPr>
        <w:tab/>
        <w:t xml:space="preserve">               Petar Mitrović</w:t>
      </w:r>
    </w:p>
    <w:p w:rsidR="008A455F" w:rsidRDefault="008A455F" w:rsidP="008A455F">
      <w:pPr>
        <w:rPr>
          <w:lang w:val="sr-Latn-BA"/>
        </w:rPr>
      </w:pPr>
      <w:r>
        <w:rPr>
          <w:lang w:val="sr-Latn-BA"/>
        </w:rPr>
        <w:t xml:space="preserve">             -----------------------------                                                         -------------------------</w:t>
      </w:r>
    </w:p>
    <w:p w:rsidR="008A455F" w:rsidRDefault="008A455F" w:rsidP="008A455F">
      <w:pPr>
        <w:rPr>
          <w:lang w:val="sr-Latn-BA"/>
        </w:rPr>
      </w:pPr>
    </w:p>
    <w:p w:rsidR="008A455F" w:rsidRDefault="008A455F" w:rsidP="008A455F">
      <w:pPr>
        <w:rPr>
          <w:lang w:val="sr-Latn-BA"/>
        </w:rPr>
      </w:pPr>
    </w:p>
    <w:p w:rsidR="008A455F" w:rsidRDefault="008A455F" w:rsidP="008A455F">
      <w:pPr>
        <w:rPr>
          <w:lang w:val="sr-Latn-BA"/>
        </w:rPr>
      </w:pPr>
    </w:p>
    <w:p w:rsidR="008A455F" w:rsidRDefault="008A455F" w:rsidP="008A455F">
      <w:pPr>
        <w:rPr>
          <w:lang w:val="sr-Latn-BA"/>
        </w:rPr>
      </w:pPr>
    </w:p>
    <w:p w:rsidR="008A455F" w:rsidRDefault="008A455F" w:rsidP="008A455F">
      <w:pPr>
        <w:rPr>
          <w:lang w:val="sr-Latn-BA"/>
        </w:rPr>
      </w:pPr>
    </w:p>
    <w:p w:rsidR="008A455F" w:rsidRDefault="008A455F" w:rsidP="008A455F">
      <w:pPr>
        <w:rPr>
          <w:lang w:val="sr-Latn-BA"/>
        </w:rPr>
      </w:pPr>
    </w:p>
    <w:p w:rsidR="008A455F" w:rsidRDefault="008A455F" w:rsidP="008A455F">
      <w:pPr>
        <w:rPr>
          <w:lang w:val="sr-Latn-BA"/>
        </w:rPr>
      </w:pPr>
    </w:p>
    <w:p w:rsidR="008A455F" w:rsidRDefault="008A455F" w:rsidP="008A455F">
      <w:pPr>
        <w:rPr>
          <w:lang w:val="sr-Latn-BA"/>
        </w:rPr>
      </w:pPr>
    </w:p>
    <w:p w:rsidR="008A455F" w:rsidRDefault="008A455F" w:rsidP="008A455F">
      <w:pPr>
        <w:jc w:val="center"/>
        <w:rPr>
          <w:lang w:val="sr-Latn-BA"/>
        </w:rPr>
      </w:pPr>
      <w:r>
        <w:rPr>
          <w:lang w:val="sr-Latn-BA"/>
        </w:rPr>
        <w:t>Preds</w:t>
      </w:r>
      <w:r w:rsidR="00975E2A">
        <w:rPr>
          <w:lang w:val="sr-Latn-BA"/>
        </w:rPr>
        <w:t>j</w:t>
      </w:r>
      <w:r>
        <w:rPr>
          <w:lang w:val="sr-Latn-BA"/>
        </w:rPr>
        <w:t>ednik Upravnog odbora Društva za upravljanje</w:t>
      </w:r>
    </w:p>
    <w:p w:rsidR="008A455F" w:rsidRDefault="008A455F" w:rsidP="008A455F">
      <w:pPr>
        <w:jc w:val="center"/>
        <w:rPr>
          <w:lang w:val="sr-Latn-BA"/>
        </w:rPr>
      </w:pPr>
      <w:r>
        <w:rPr>
          <w:lang w:val="sr-Latn-BA"/>
        </w:rPr>
        <w:t>Srđan Stanojević</w:t>
      </w:r>
    </w:p>
    <w:p w:rsidR="008A455F" w:rsidRDefault="008A455F" w:rsidP="008A455F">
      <w:pPr>
        <w:rPr>
          <w:lang w:val="sr-Latn-BA"/>
        </w:rPr>
      </w:pPr>
      <w:r>
        <w:rPr>
          <w:lang w:val="sr-Latn-BA"/>
        </w:rPr>
        <w:tab/>
      </w:r>
      <w:r>
        <w:rPr>
          <w:lang w:val="sr-Latn-BA"/>
        </w:rPr>
        <w:tab/>
      </w:r>
      <w:r>
        <w:rPr>
          <w:lang w:val="sr-Latn-BA"/>
        </w:rPr>
        <w:tab/>
      </w:r>
      <w:r>
        <w:rPr>
          <w:lang w:val="sr-Latn-BA"/>
        </w:rPr>
        <w:tab/>
      </w:r>
      <w:r>
        <w:rPr>
          <w:lang w:val="sr-Latn-BA"/>
        </w:rPr>
        <w:tab/>
        <w:t xml:space="preserve">    ----------------------------</w:t>
      </w:r>
    </w:p>
    <w:p w:rsidR="0021065D" w:rsidRPr="00036A76" w:rsidRDefault="0021065D" w:rsidP="00F30038">
      <w:pPr>
        <w:rPr>
          <w:rFonts w:eastAsia="Calibri"/>
          <w:lang w:val="sl-SI"/>
        </w:rPr>
      </w:pPr>
    </w:p>
    <w:p w:rsidR="0021065D" w:rsidRPr="00036A76" w:rsidRDefault="0021065D" w:rsidP="00F30038">
      <w:pPr>
        <w:rPr>
          <w:rFonts w:eastAsia="Calibri"/>
          <w:lang w:val="sl-SI"/>
        </w:rPr>
      </w:pPr>
    </w:p>
    <w:p w:rsidR="0021065D" w:rsidRPr="00036A76" w:rsidRDefault="0021065D" w:rsidP="00F30038">
      <w:pPr>
        <w:rPr>
          <w:rFonts w:eastAsia="Calibri"/>
          <w:lang w:val="sl-SI"/>
        </w:rPr>
      </w:pPr>
    </w:p>
    <w:p w:rsidR="0021065D" w:rsidRPr="00036A76" w:rsidRDefault="0021065D" w:rsidP="00F30038">
      <w:pPr>
        <w:rPr>
          <w:rFonts w:eastAsia="Calibri"/>
          <w:lang w:val="sl-SI"/>
        </w:rPr>
      </w:pPr>
    </w:p>
    <w:p w:rsidR="0021065D" w:rsidRPr="00036A76" w:rsidRDefault="0021065D" w:rsidP="00F30038">
      <w:pPr>
        <w:rPr>
          <w:rFonts w:eastAsia="Calibri"/>
          <w:lang w:val="sl-SI"/>
        </w:rPr>
      </w:pPr>
    </w:p>
    <w:p w:rsidR="0021065D" w:rsidRPr="00036A76" w:rsidRDefault="0021065D" w:rsidP="00F30038">
      <w:pPr>
        <w:rPr>
          <w:rFonts w:eastAsia="Calibri"/>
          <w:lang w:val="sl-SI"/>
        </w:rPr>
      </w:pPr>
    </w:p>
    <w:p w:rsidR="0021065D" w:rsidRPr="00036A76" w:rsidRDefault="0021065D" w:rsidP="00F30038">
      <w:pPr>
        <w:rPr>
          <w:rFonts w:eastAsia="Calibri"/>
          <w:lang w:val="sl-SI"/>
        </w:rPr>
      </w:pPr>
    </w:p>
    <w:p w:rsidR="0021065D" w:rsidRPr="00036A76" w:rsidRDefault="0021065D" w:rsidP="00F30038">
      <w:pPr>
        <w:rPr>
          <w:rFonts w:eastAsia="Calibri"/>
          <w:lang w:val="sl-SI"/>
        </w:rPr>
      </w:pPr>
    </w:p>
    <w:p w:rsidR="0021065D" w:rsidRPr="00036A76" w:rsidRDefault="0021065D" w:rsidP="00F30038">
      <w:pPr>
        <w:rPr>
          <w:rFonts w:eastAsia="Calibri"/>
          <w:lang w:val="sl-SI"/>
        </w:rPr>
      </w:pPr>
    </w:p>
    <w:p w:rsidR="00205132" w:rsidRDefault="00205132" w:rsidP="00205132">
      <w:pPr>
        <w:ind w:left="0" w:firstLine="0"/>
        <w:rPr>
          <w:rFonts w:eastAsia="Calibri"/>
          <w:lang w:val="sl-SI"/>
        </w:rPr>
      </w:pPr>
    </w:p>
    <w:p w:rsidR="008A455F" w:rsidRDefault="008A455F" w:rsidP="00205132">
      <w:pPr>
        <w:ind w:left="0" w:firstLine="0"/>
        <w:rPr>
          <w:rFonts w:eastAsia="Calibri"/>
          <w:lang w:val="sl-SI"/>
        </w:rPr>
      </w:pPr>
    </w:p>
    <w:p w:rsidR="008A455F" w:rsidRDefault="008A455F" w:rsidP="00205132">
      <w:pPr>
        <w:ind w:left="0" w:firstLine="0"/>
        <w:rPr>
          <w:rFonts w:eastAsia="Calibri"/>
          <w:lang w:val="sl-SI"/>
        </w:rPr>
      </w:pPr>
    </w:p>
    <w:p w:rsidR="008A455F" w:rsidRDefault="008A455F" w:rsidP="00205132">
      <w:pPr>
        <w:ind w:left="0" w:firstLine="0"/>
        <w:rPr>
          <w:rFonts w:eastAsia="Calibri"/>
          <w:lang w:val="sl-SI"/>
        </w:rPr>
      </w:pPr>
    </w:p>
    <w:p w:rsidR="008A455F" w:rsidRDefault="008A455F" w:rsidP="00205132">
      <w:pPr>
        <w:ind w:left="0" w:firstLine="0"/>
        <w:rPr>
          <w:rFonts w:eastAsia="Calibri"/>
          <w:lang w:val="sl-SI"/>
        </w:rPr>
      </w:pPr>
    </w:p>
    <w:p w:rsidR="008A455F" w:rsidRDefault="008A455F" w:rsidP="00205132">
      <w:pPr>
        <w:ind w:left="0" w:firstLine="0"/>
        <w:rPr>
          <w:rFonts w:eastAsia="Calibri"/>
          <w:lang w:val="sl-SI"/>
        </w:rPr>
      </w:pPr>
    </w:p>
    <w:p w:rsidR="008A455F" w:rsidRDefault="008A455F" w:rsidP="00205132">
      <w:pPr>
        <w:ind w:left="0" w:firstLine="0"/>
        <w:rPr>
          <w:rFonts w:eastAsia="Calibri"/>
          <w:lang w:val="sl-SI"/>
        </w:rPr>
      </w:pPr>
    </w:p>
    <w:p w:rsidR="001669EB" w:rsidRPr="00036A76" w:rsidRDefault="001669EB" w:rsidP="00205132">
      <w:pPr>
        <w:ind w:left="0" w:firstLine="0"/>
        <w:rPr>
          <w:rFonts w:eastAsia="Calibri"/>
          <w:lang w:val="sl-SI"/>
        </w:rPr>
      </w:pPr>
    </w:p>
    <w:p w:rsidR="00087D42" w:rsidRPr="00036A76" w:rsidRDefault="00087D42" w:rsidP="00205132">
      <w:pPr>
        <w:ind w:left="0" w:firstLine="0"/>
        <w:rPr>
          <w:b/>
          <w:sz w:val="26"/>
          <w:szCs w:val="26"/>
        </w:rPr>
      </w:pPr>
    </w:p>
    <w:p w:rsidR="00205132" w:rsidRPr="00036A76" w:rsidRDefault="00E37B80" w:rsidP="00F553CF">
      <w:pPr>
        <w:pStyle w:val="ListParagraph"/>
        <w:numPr>
          <w:ilvl w:val="0"/>
          <w:numId w:val="8"/>
        </w:numPr>
        <w:rPr>
          <w:b/>
          <w:sz w:val="26"/>
          <w:szCs w:val="26"/>
        </w:rPr>
      </w:pPr>
      <w:r w:rsidRPr="00036A76">
        <w:rPr>
          <w:b/>
          <w:sz w:val="26"/>
          <w:szCs w:val="26"/>
        </w:rPr>
        <w:t>LICA ZADUŽENA ZA REVIZIJU FINANSIJSKIH INFORMACIJA</w:t>
      </w:r>
    </w:p>
    <w:p w:rsidR="00205132" w:rsidRPr="00036A76" w:rsidRDefault="00205132" w:rsidP="00205132">
      <w:pPr>
        <w:ind w:left="0" w:firstLine="0"/>
        <w:contextualSpacing/>
      </w:pPr>
      <w:r w:rsidRPr="00036A76">
        <w:t>Društvo za reviziju “Revidere” d.o.o. Bijeljina po Ugovorima o reviziji finan</w:t>
      </w:r>
      <w:r w:rsidR="00031154" w:rsidRPr="00036A76">
        <w:t>sijskih izvještaja Fonda za 2015</w:t>
      </w:r>
      <w:r w:rsidR="00385AB3" w:rsidRPr="00036A76">
        <w:t>. godinu i 2016</w:t>
      </w:r>
      <w:r w:rsidRPr="00036A76">
        <w:t>. godinu. Ovlašćeni revizor  prof. dr Rajko Radović.</w:t>
      </w:r>
    </w:p>
    <w:p w:rsidR="00205132" w:rsidRPr="00036A76" w:rsidRDefault="00205132" w:rsidP="00205132">
      <w:pPr>
        <w:ind w:left="0" w:firstLine="0"/>
        <w:contextualSpacing/>
      </w:pPr>
      <w:r w:rsidRPr="00036A76">
        <w:t>U periodu koji obuhvata prikazane finansijske informacije nije došlo do promjene lica koje je odgovorno za reviziju finansijskih izvještaja.</w:t>
      </w:r>
    </w:p>
    <w:p w:rsidR="00205132" w:rsidRPr="00036A76" w:rsidRDefault="00205132" w:rsidP="00205132">
      <w:pPr>
        <w:ind w:left="0" w:firstLine="0"/>
        <w:contextualSpacing/>
      </w:pPr>
    </w:p>
    <w:p w:rsidR="00205132" w:rsidRPr="00036A76" w:rsidRDefault="00E37B80" w:rsidP="00F553CF">
      <w:pPr>
        <w:pStyle w:val="ListParagraph"/>
        <w:numPr>
          <w:ilvl w:val="0"/>
          <w:numId w:val="8"/>
        </w:numPr>
        <w:rPr>
          <w:b/>
          <w:sz w:val="26"/>
          <w:szCs w:val="26"/>
        </w:rPr>
      </w:pPr>
      <w:r w:rsidRPr="00036A76">
        <w:rPr>
          <w:b/>
          <w:sz w:val="26"/>
          <w:szCs w:val="26"/>
        </w:rPr>
        <w:t>IZABRANE FINANSIJSKE INFORMACIJE</w:t>
      </w:r>
    </w:p>
    <w:tbl>
      <w:tblPr>
        <w:tblpPr w:leftFromText="180" w:rightFromText="180" w:vertAnchor="text" w:tblpX="250" w:tblpY="1"/>
        <w:tblOverlap w:val="never"/>
        <w:tblW w:w="8637" w:type="dxa"/>
        <w:tblLook w:val="04A0"/>
      </w:tblPr>
      <w:tblGrid>
        <w:gridCol w:w="6004"/>
        <w:gridCol w:w="708"/>
        <w:gridCol w:w="608"/>
        <w:gridCol w:w="708"/>
        <w:gridCol w:w="240"/>
        <w:gridCol w:w="369"/>
      </w:tblGrid>
      <w:tr w:rsidR="00205132" w:rsidRPr="00036A76" w:rsidTr="003967F1">
        <w:trPr>
          <w:gridAfter w:val="1"/>
          <w:wAfter w:w="369" w:type="dxa"/>
          <w:trHeight w:val="300"/>
        </w:trPr>
        <w:tc>
          <w:tcPr>
            <w:tcW w:w="8028" w:type="dxa"/>
            <w:gridSpan w:val="4"/>
            <w:tcBorders>
              <w:top w:val="nil"/>
              <w:left w:val="nil"/>
              <w:bottom w:val="nil"/>
              <w:right w:val="nil"/>
            </w:tcBorders>
            <w:shd w:val="clear" w:color="auto" w:fill="auto"/>
            <w:noWrap/>
            <w:vAlign w:val="bottom"/>
            <w:hideMark/>
          </w:tcPr>
          <w:p w:rsidR="00E37B80" w:rsidRPr="00036A76" w:rsidRDefault="00E37B80" w:rsidP="003967F1">
            <w:pPr>
              <w:ind w:left="0" w:firstLine="0"/>
              <w:contextualSpacing/>
              <w:jc w:val="left"/>
              <w:rPr>
                <w:bCs/>
                <w:color w:val="000000"/>
                <w:sz w:val="22"/>
                <w:szCs w:val="22"/>
                <w:lang w:eastAsia="en-GB"/>
              </w:rPr>
            </w:pPr>
          </w:p>
          <w:p w:rsidR="00205132" w:rsidRPr="00036A76" w:rsidRDefault="00205132" w:rsidP="003967F1">
            <w:pPr>
              <w:ind w:left="0" w:firstLine="0"/>
              <w:contextualSpacing/>
              <w:jc w:val="left"/>
              <w:rPr>
                <w:bCs/>
                <w:color w:val="000000"/>
                <w:sz w:val="22"/>
                <w:szCs w:val="22"/>
                <w:lang w:eastAsia="en-GB"/>
              </w:rPr>
            </w:pPr>
            <w:r w:rsidRPr="00036A76">
              <w:rPr>
                <w:bCs/>
                <w:color w:val="000000"/>
                <w:sz w:val="22"/>
                <w:szCs w:val="22"/>
                <w:lang w:eastAsia="en-GB"/>
              </w:rPr>
              <w:t xml:space="preserve">IZABRANE FINANSIJSKE INFORMACIJE  NA DAN </w:t>
            </w:r>
            <w:r w:rsidRPr="00036A76">
              <w:rPr>
                <w:bCs/>
                <w:sz w:val="22"/>
                <w:szCs w:val="22"/>
                <w:lang w:eastAsia="en-GB"/>
              </w:rPr>
              <w:t>31.12.201</w:t>
            </w:r>
            <w:r w:rsidR="001C152D" w:rsidRPr="00036A76">
              <w:rPr>
                <w:bCs/>
                <w:sz w:val="22"/>
                <w:szCs w:val="22"/>
                <w:lang w:eastAsia="en-GB"/>
              </w:rPr>
              <w:t>5</w:t>
            </w:r>
            <w:r w:rsidRPr="00036A76">
              <w:rPr>
                <w:bCs/>
                <w:sz w:val="22"/>
                <w:szCs w:val="22"/>
                <w:lang w:eastAsia="en-GB"/>
              </w:rPr>
              <w:t>. GODINE</w:t>
            </w:r>
          </w:p>
        </w:tc>
        <w:tc>
          <w:tcPr>
            <w:tcW w:w="240" w:type="dxa"/>
            <w:tcBorders>
              <w:top w:val="nil"/>
              <w:left w:val="nil"/>
              <w:bottom w:val="nil"/>
              <w:right w:val="nil"/>
            </w:tcBorders>
            <w:shd w:val="clear" w:color="auto" w:fill="auto"/>
            <w:noWrap/>
            <w:vAlign w:val="bottom"/>
            <w:hideMark/>
          </w:tcPr>
          <w:p w:rsidR="00205132" w:rsidRPr="00036A76" w:rsidRDefault="00205132" w:rsidP="003967F1">
            <w:pPr>
              <w:ind w:left="0" w:firstLine="0"/>
              <w:contextualSpacing/>
              <w:rPr>
                <w:color w:val="000000"/>
                <w:sz w:val="22"/>
                <w:szCs w:val="22"/>
                <w:lang w:eastAsia="en-GB"/>
              </w:rPr>
            </w:pPr>
          </w:p>
        </w:tc>
      </w:tr>
      <w:tr w:rsidR="00205132" w:rsidRPr="00036A76" w:rsidTr="003967F1">
        <w:trPr>
          <w:gridAfter w:val="1"/>
          <w:wAfter w:w="369" w:type="dxa"/>
          <w:trHeight w:val="300"/>
        </w:trPr>
        <w:tc>
          <w:tcPr>
            <w:tcW w:w="6004" w:type="dxa"/>
            <w:tcBorders>
              <w:top w:val="nil"/>
              <w:left w:val="nil"/>
              <w:bottom w:val="single" w:sz="4" w:space="0" w:color="auto"/>
              <w:right w:val="nil"/>
            </w:tcBorders>
            <w:shd w:val="clear" w:color="auto" w:fill="auto"/>
            <w:noWrap/>
            <w:vAlign w:val="bottom"/>
            <w:hideMark/>
          </w:tcPr>
          <w:p w:rsidR="00205132" w:rsidRPr="00036A76" w:rsidRDefault="00205132" w:rsidP="003967F1">
            <w:pPr>
              <w:ind w:left="0" w:firstLine="0"/>
              <w:contextualSpacing/>
              <w:rPr>
                <w:color w:val="000000"/>
                <w:sz w:val="22"/>
                <w:szCs w:val="22"/>
                <w:lang w:eastAsia="en-GB"/>
              </w:rPr>
            </w:pPr>
          </w:p>
        </w:tc>
        <w:tc>
          <w:tcPr>
            <w:tcW w:w="708" w:type="dxa"/>
            <w:tcBorders>
              <w:top w:val="nil"/>
              <w:left w:val="nil"/>
              <w:bottom w:val="single" w:sz="4" w:space="0" w:color="auto"/>
              <w:right w:val="nil"/>
            </w:tcBorders>
            <w:shd w:val="clear" w:color="auto" w:fill="auto"/>
            <w:noWrap/>
            <w:vAlign w:val="bottom"/>
            <w:hideMark/>
          </w:tcPr>
          <w:p w:rsidR="00205132" w:rsidRPr="00036A76" w:rsidRDefault="00205132" w:rsidP="003967F1">
            <w:pPr>
              <w:ind w:left="0" w:firstLine="0"/>
              <w:contextualSpacing/>
              <w:rPr>
                <w:color w:val="000000"/>
                <w:sz w:val="22"/>
                <w:szCs w:val="22"/>
                <w:lang w:eastAsia="en-GB"/>
              </w:rPr>
            </w:pPr>
          </w:p>
        </w:tc>
        <w:tc>
          <w:tcPr>
            <w:tcW w:w="1316" w:type="dxa"/>
            <w:gridSpan w:val="2"/>
            <w:tcBorders>
              <w:top w:val="nil"/>
              <w:left w:val="nil"/>
              <w:bottom w:val="single" w:sz="4" w:space="0" w:color="auto"/>
              <w:right w:val="nil"/>
            </w:tcBorders>
            <w:shd w:val="clear" w:color="auto" w:fill="auto"/>
            <w:noWrap/>
            <w:hideMark/>
          </w:tcPr>
          <w:p w:rsidR="00205132" w:rsidRPr="00036A76" w:rsidRDefault="00205132" w:rsidP="003967F1">
            <w:pPr>
              <w:ind w:left="0" w:firstLine="0"/>
              <w:contextualSpacing/>
              <w:rPr>
                <w:color w:val="000000"/>
                <w:sz w:val="22"/>
                <w:szCs w:val="22"/>
                <w:lang w:eastAsia="en-GB"/>
              </w:rPr>
            </w:pPr>
            <w:r w:rsidRPr="00036A76">
              <w:rPr>
                <w:color w:val="000000"/>
                <w:sz w:val="22"/>
                <w:szCs w:val="22"/>
                <w:lang w:eastAsia="en-GB"/>
              </w:rPr>
              <w:t>(u KM)</w:t>
            </w:r>
          </w:p>
        </w:tc>
        <w:tc>
          <w:tcPr>
            <w:tcW w:w="240" w:type="dxa"/>
            <w:tcBorders>
              <w:top w:val="nil"/>
              <w:left w:val="nil"/>
              <w:bottom w:val="nil"/>
              <w:right w:val="nil"/>
            </w:tcBorders>
            <w:shd w:val="clear" w:color="auto" w:fill="auto"/>
            <w:noWrap/>
            <w:vAlign w:val="bottom"/>
            <w:hideMark/>
          </w:tcPr>
          <w:p w:rsidR="00205132" w:rsidRPr="00036A76" w:rsidRDefault="00205132" w:rsidP="003967F1">
            <w:pPr>
              <w:ind w:left="0" w:firstLine="0"/>
              <w:contextualSpacing/>
              <w:rPr>
                <w:color w:val="000000"/>
                <w:sz w:val="22"/>
                <w:szCs w:val="22"/>
                <w:lang w:eastAsia="en-GB"/>
              </w:rPr>
            </w:pPr>
          </w:p>
        </w:tc>
      </w:tr>
      <w:tr w:rsidR="00205132" w:rsidRPr="00036A76" w:rsidTr="003967F1">
        <w:trPr>
          <w:trHeight w:val="353"/>
        </w:trPr>
        <w:tc>
          <w:tcPr>
            <w:tcW w:w="6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036A76" w:rsidRDefault="00205132" w:rsidP="003967F1">
            <w:pPr>
              <w:ind w:left="0" w:firstLine="0"/>
              <w:contextualSpacing/>
              <w:rPr>
                <w:b/>
                <w:sz w:val="22"/>
                <w:szCs w:val="22"/>
                <w:lang w:eastAsia="en-GB"/>
              </w:rPr>
            </w:pPr>
            <w:r w:rsidRPr="00036A76">
              <w:rPr>
                <w:b/>
                <w:sz w:val="22"/>
                <w:szCs w:val="22"/>
                <w:lang w:eastAsia="en-GB"/>
              </w:rPr>
              <w:t>Pozicija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205132" w:rsidRPr="00036A76" w:rsidRDefault="001C152D" w:rsidP="003967F1">
            <w:pPr>
              <w:ind w:left="0" w:firstLine="0"/>
              <w:contextualSpacing/>
              <w:rPr>
                <w:b/>
                <w:sz w:val="22"/>
                <w:szCs w:val="22"/>
                <w:lang w:eastAsia="en-GB"/>
              </w:rPr>
            </w:pPr>
            <w:r w:rsidRPr="00036A76">
              <w:rPr>
                <w:b/>
                <w:sz w:val="22"/>
                <w:szCs w:val="22"/>
                <w:lang w:eastAsia="en-GB"/>
              </w:rPr>
              <w:t>2015</w:t>
            </w:r>
            <w:r w:rsidR="00205132" w:rsidRPr="00036A76">
              <w:rPr>
                <w:b/>
                <w:sz w:val="22"/>
                <w:szCs w:val="22"/>
                <w:lang w:eastAsia="en-GB"/>
              </w:rPr>
              <w:t>. god.</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036A76" w:rsidRDefault="00205132" w:rsidP="003967F1">
            <w:pPr>
              <w:ind w:left="0" w:firstLine="0"/>
              <w:contextualSpacing/>
              <w:rPr>
                <w:b/>
                <w:sz w:val="22"/>
                <w:szCs w:val="22"/>
                <w:lang w:eastAsia="en-GB"/>
              </w:rPr>
            </w:pPr>
            <w:r w:rsidRPr="00036A76">
              <w:rPr>
                <w:b/>
                <w:sz w:val="22"/>
                <w:szCs w:val="22"/>
                <w:lang w:eastAsia="en-GB"/>
              </w:rPr>
              <w:t>201</w:t>
            </w:r>
            <w:r w:rsidR="001C152D" w:rsidRPr="00036A76">
              <w:rPr>
                <w:b/>
                <w:sz w:val="22"/>
                <w:szCs w:val="22"/>
                <w:lang w:eastAsia="en-GB"/>
              </w:rPr>
              <w:t>4</w:t>
            </w:r>
            <w:r w:rsidRPr="00036A76">
              <w:rPr>
                <w:b/>
                <w:sz w:val="22"/>
                <w:szCs w:val="22"/>
                <w:lang w:eastAsia="en-GB"/>
              </w:rPr>
              <w:t>. god.</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sz w:val="22"/>
                <w:szCs w:val="22"/>
                <w:lang w:eastAsia="en-GB"/>
              </w:rPr>
            </w:pPr>
            <w:r w:rsidRPr="00036A76">
              <w:rPr>
                <w:bCs/>
                <w:sz w:val="22"/>
                <w:szCs w:val="22"/>
                <w:lang w:eastAsia="en-GB"/>
              </w:rPr>
              <w:t xml:space="preserve">      UKUPNA IMOVINA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26.957.243</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31.934.924</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sz w:val="22"/>
                <w:szCs w:val="22"/>
                <w:lang w:eastAsia="en-GB"/>
              </w:rPr>
              <w:t xml:space="preserve"> I - Gotovina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510.154</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329.776</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sz w:val="22"/>
                <w:szCs w:val="22"/>
                <w:lang w:eastAsia="en-GB"/>
              </w:rPr>
            </w:pPr>
            <w:r w:rsidRPr="00036A76">
              <w:rPr>
                <w:sz w:val="22"/>
                <w:szCs w:val="22"/>
                <w:lang w:eastAsia="en-GB"/>
              </w:rPr>
              <w:t>II  1. Ulaganja fonda u finansijska sredstva raspoloživa za prodaju</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11.024.481</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15.699.741</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sz w:val="22"/>
                <w:szCs w:val="22"/>
                <w:lang w:eastAsia="en-GB"/>
              </w:rPr>
            </w:pPr>
            <w:r w:rsidRPr="00036A76">
              <w:rPr>
                <w:sz w:val="22"/>
                <w:szCs w:val="22"/>
                <w:lang w:eastAsia="en-GB"/>
              </w:rPr>
              <w:t>2. Ulaganja fonda u finansijska sredstva po fer vrijednosti kroz bilans uspjeha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15.410.131</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15.891.795</w:t>
            </w:r>
          </w:p>
        </w:tc>
      </w:tr>
      <w:tr w:rsidR="003967F1" w:rsidRPr="00036A76" w:rsidTr="003967F1">
        <w:trPr>
          <w:trHeight w:val="369"/>
        </w:trPr>
        <w:tc>
          <w:tcPr>
            <w:tcW w:w="6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7F1" w:rsidRPr="00036A76" w:rsidRDefault="003967F1" w:rsidP="003967F1">
            <w:pPr>
              <w:ind w:left="0" w:firstLine="0"/>
              <w:contextualSpacing/>
              <w:rPr>
                <w:sz w:val="22"/>
                <w:szCs w:val="22"/>
                <w:lang w:eastAsia="en-GB"/>
              </w:rPr>
            </w:pPr>
            <w:r w:rsidRPr="00036A76">
              <w:rPr>
                <w:sz w:val="22"/>
                <w:szCs w:val="22"/>
                <w:lang w:eastAsia="en-GB"/>
              </w:rPr>
              <w:t>III Depoziti i plasmani</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0</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sz w:val="22"/>
                <w:szCs w:val="22"/>
                <w:lang w:eastAsia="en-GB"/>
              </w:rPr>
            </w:pPr>
            <w:r w:rsidRPr="00036A76">
              <w:rPr>
                <w:sz w:val="22"/>
                <w:szCs w:val="22"/>
                <w:lang w:eastAsia="en-GB"/>
              </w:rPr>
              <w:t xml:space="preserve">IV   Potraživanja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0</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7F1" w:rsidRPr="00036A76" w:rsidRDefault="003967F1" w:rsidP="003967F1">
            <w:pPr>
              <w:ind w:left="0" w:firstLine="0"/>
              <w:contextualSpacing/>
              <w:rPr>
                <w:sz w:val="22"/>
                <w:szCs w:val="22"/>
                <w:lang w:eastAsia="en-GB"/>
              </w:rPr>
            </w:pPr>
            <w:r w:rsidRPr="00036A76">
              <w:rPr>
                <w:bCs/>
                <w:sz w:val="22"/>
                <w:szCs w:val="22"/>
                <w:lang w:eastAsia="en-GB"/>
              </w:rPr>
              <w:t xml:space="preserve">     OBAVEZE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1.946.767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1.884.942</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sz w:val="22"/>
                <w:szCs w:val="22"/>
                <w:lang w:eastAsia="en-GB"/>
              </w:rPr>
              <w:t xml:space="preserve">V-Obaveze po osnovu troškova poslovanja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12.718</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14.844</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sz w:val="22"/>
                <w:szCs w:val="22"/>
                <w:lang w:eastAsia="en-GB"/>
              </w:rPr>
            </w:pPr>
            <w:r w:rsidRPr="00036A76">
              <w:rPr>
                <w:sz w:val="22"/>
                <w:szCs w:val="22"/>
                <w:lang w:eastAsia="en-GB"/>
              </w:rPr>
              <w:t>VI- Obaveze prema društvu za upavljanje</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1.784.222</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1.861.636</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sz w:val="22"/>
                <w:szCs w:val="22"/>
                <w:lang w:eastAsia="en-GB"/>
              </w:rPr>
            </w:pPr>
            <w:r w:rsidRPr="00036A76">
              <w:rPr>
                <w:bCs/>
                <w:sz w:val="22"/>
                <w:szCs w:val="22"/>
                <w:lang w:eastAsia="en-GB"/>
              </w:rPr>
              <w:t xml:space="preserve">     NETO IMOVINA FONDA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25.011.476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30.049.982</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     KAPITAL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bCs/>
                <w:sz w:val="22"/>
                <w:szCs w:val="22"/>
                <w:lang w:eastAsia="en-GB"/>
              </w:rPr>
            </w:pPr>
            <w:r w:rsidRPr="00036A76">
              <w:rPr>
                <w:bCs/>
                <w:sz w:val="22"/>
                <w:szCs w:val="22"/>
                <w:lang w:eastAsia="en-GB"/>
              </w:rPr>
              <w:t>25.011.476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30.049.982</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 Osnovni  akcijski kapital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187.191.287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187.191.287</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 Kapitalne rezerve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2.619.595</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2.619.595</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Rev. rezerve po osnovu fin.sredstava raspoloživih za prodaju</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205769">
            <w:pPr>
              <w:ind w:left="0" w:firstLine="0"/>
              <w:contextualSpacing/>
              <w:jc w:val="right"/>
              <w:rPr>
                <w:sz w:val="22"/>
                <w:szCs w:val="22"/>
                <w:lang w:eastAsia="en-GB"/>
              </w:rPr>
            </w:pPr>
            <w:r w:rsidRPr="00036A76">
              <w:rPr>
                <w:sz w:val="22"/>
                <w:szCs w:val="22"/>
                <w:lang w:eastAsia="en-GB"/>
              </w:rPr>
              <w:t>-</w:t>
            </w:r>
            <w:r w:rsidR="00205769" w:rsidRPr="00036A76">
              <w:rPr>
                <w:sz w:val="22"/>
                <w:szCs w:val="22"/>
                <w:lang w:eastAsia="en-GB"/>
              </w:rPr>
              <w:t>45.888.357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-42.626.279</w:t>
            </w:r>
          </w:p>
        </w:tc>
      </w:tr>
      <w:tr w:rsidR="003967F1" w:rsidRPr="00036A76" w:rsidTr="003967F1">
        <w:trPr>
          <w:trHeight w:val="31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 Neraspoređena dobit ranijih godina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0</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 Nepokriveni gubitak</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103.818.590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103.223.288</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sz w:val="22"/>
                <w:szCs w:val="22"/>
                <w:lang w:eastAsia="en-GB"/>
              </w:rPr>
              <w:t>1. Nepokriven gubitak ranijih godina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103.223.288</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94.999.907</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sz w:val="22"/>
                <w:szCs w:val="22"/>
                <w:lang w:eastAsia="en-GB"/>
              </w:rPr>
            </w:pPr>
            <w:r w:rsidRPr="00036A76">
              <w:rPr>
                <w:sz w:val="22"/>
                <w:szCs w:val="22"/>
                <w:lang w:eastAsia="en-GB"/>
              </w:rPr>
              <w:t>2. Nepokriven gubitak tekuće godine</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595.302</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8.233.381</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sz w:val="22"/>
                <w:szCs w:val="22"/>
                <w:lang w:eastAsia="en-GB"/>
              </w:rPr>
            </w:pPr>
            <w:r w:rsidRPr="00036A76">
              <w:rPr>
                <w:bCs/>
                <w:sz w:val="22"/>
                <w:szCs w:val="22"/>
                <w:lang w:eastAsia="en-GB"/>
              </w:rPr>
              <w:t xml:space="preserve">     BROJ EMITOVANIH AKCIJA/UDJELA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187.191.287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187.191.287</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     NETO IMOVINA PO UDJELU/AKCIJI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3967F1" w:rsidP="003967F1">
            <w:pPr>
              <w:ind w:left="0" w:firstLine="0"/>
              <w:contextualSpacing/>
              <w:jc w:val="right"/>
              <w:rPr>
                <w:sz w:val="22"/>
                <w:szCs w:val="22"/>
                <w:lang w:eastAsia="en-GB"/>
              </w:rPr>
            </w:pPr>
            <w:r w:rsidRPr="00036A76">
              <w:rPr>
                <w:sz w:val="22"/>
                <w:szCs w:val="22"/>
                <w:lang w:eastAsia="en-GB"/>
              </w:rPr>
              <w:t>0,16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0,16</w:t>
            </w:r>
          </w:p>
        </w:tc>
      </w:tr>
      <w:tr w:rsidR="00205132" w:rsidRPr="00036A76" w:rsidTr="003967F1">
        <w:trPr>
          <w:trHeight w:val="300"/>
        </w:trPr>
        <w:tc>
          <w:tcPr>
            <w:tcW w:w="86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3967F1">
            <w:pPr>
              <w:ind w:left="0" w:firstLine="0"/>
              <w:contextualSpacing/>
              <w:rPr>
                <w:bCs/>
                <w:sz w:val="22"/>
                <w:szCs w:val="22"/>
                <w:lang w:eastAsia="en-GB"/>
              </w:rPr>
            </w:pPr>
            <w:r w:rsidRPr="00036A76">
              <w:rPr>
                <w:bCs/>
                <w:sz w:val="22"/>
                <w:szCs w:val="22"/>
                <w:lang w:eastAsia="en-GB"/>
              </w:rPr>
              <w:t xml:space="preserve">  PRIHODI I RASHODI</w:t>
            </w:r>
            <w:r w:rsidRPr="00036A76">
              <w:rPr>
                <w:sz w:val="22"/>
                <w:szCs w:val="22"/>
                <w:lang w:eastAsia="en-GB"/>
              </w:rPr>
              <w:t> </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I - Poslovni prihodi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1.487.647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962.781</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II - Realizovan dobitak od prodaje HOV</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bCs/>
                <w:sz w:val="22"/>
                <w:szCs w:val="22"/>
                <w:lang w:eastAsia="en-GB"/>
              </w:rPr>
            </w:pPr>
            <w:r w:rsidRPr="00036A76">
              <w:rPr>
                <w:bCs/>
                <w:sz w:val="22"/>
                <w:szCs w:val="22"/>
                <w:lang w:eastAsia="en-GB"/>
              </w:rPr>
              <w:t>9.979</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12.383</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III - Poslovni rashodi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527.591</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692.209</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lastRenderedPageBreak/>
              <w:t>IV - Realizovani gubitak od prodaje HOV</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bCs/>
                <w:sz w:val="22"/>
                <w:szCs w:val="22"/>
                <w:lang w:eastAsia="en-GB"/>
              </w:rPr>
            </w:pPr>
            <w:r w:rsidRPr="00036A76">
              <w:rPr>
                <w:bCs/>
                <w:sz w:val="22"/>
                <w:szCs w:val="22"/>
                <w:lang w:eastAsia="en-GB"/>
              </w:rPr>
              <w:t>1.565.337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8.506.354</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VI - Finansijski prihodi ( od kamata)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bCs/>
                <w:sz w:val="22"/>
                <w:szCs w:val="22"/>
                <w:lang w:eastAsia="en-GB"/>
              </w:rPr>
            </w:pPr>
            <w:r w:rsidRPr="00036A76">
              <w:rPr>
                <w:bCs/>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18</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REALIZOV.  DOB. I GUB. PRIJE  OPOREZIVANjA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595.302</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8.223.381</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7F1" w:rsidRPr="00036A76" w:rsidRDefault="003967F1" w:rsidP="003967F1">
            <w:pPr>
              <w:ind w:left="0" w:firstLine="0"/>
              <w:contextualSpacing/>
              <w:rPr>
                <w:bCs/>
                <w:sz w:val="22"/>
                <w:szCs w:val="22"/>
                <w:lang w:eastAsia="en-GB"/>
              </w:rPr>
            </w:pPr>
            <w:r w:rsidRPr="00036A76">
              <w:rPr>
                <w:bCs/>
                <w:sz w:val="22"/>
                <w:szCs w:val="22"/>
                <w:lang w:eastAsia="en-GB"/>
              </w:rPr>
              <w:t>REALIZOV.  DOB. I GUB. POSLIJE OPOREZIVANjA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bCs/>
                <w:sz w:val="22"/>
                <w:szCs w:val="22"/>
                <w:lang w:eastAsia="en-GB"/>
              </w:rPr>
            </w:pPr>
            <w:r w:rsidRPr="00036A76">
              <w:rPr>
                <w:bCs/>
                <w:sz w:val="22"/>
                <w:szCs w:val="22"/>
                <w:lang w:eastAsia="en-GB"/>
              </w:rPr>
              <w:t>595.302</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67F1" w:rsidRPr="00036A76" w:rsidRDefault="003967F1" w:rsidP="003967F1">
            <w:pPr>
              <w:ind w:left="0" w:firstLine="0"/>
              <w:contextualSpacing/>
              <w:jc w:val="right"/>
              <w:rPr>
                <w:bCs/>
                <w:sz w:val="22"/>
                <w:szCs w:val="22"/>
                <w:lang w:eastAsia="en-GB"/>
              </w:rPr>
            </w:pPr>
            <w:r w:rsidRPr="00036A76">
              <w:rPr>
                <w:bCs/>
                <w:sz w:val="22"/>
                <w:szCs w:val="22"/>
                <w:lang w:eastAsia="en-GB"/>
              </w:rPr>
              <w:t>8.223.381</w:t>
            </w:r>
          </w:p>
        </w:tc>
      </w:tr>
      <w:tr w:rsidR="00205132" w:rsidRPr="00036A76" w:rsidTr="003967F1">
        <w:trPr>
          <w:trHeight w:val="349"/>
        </w:trPr>
        <w:tc>
          <w:tcPr>
            <w:tcW w:w="86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036A76" w:rsidRDefault="00205132" w:rsidP="003967F1">
            <w:pPr>
              <w:ind w:left="0" w:firstLine="0"/>
              <w:contextualSpacing/>
              <w:rPr>
                <w:sz w:val="22"/>
                <w:szCs w:val="22"/>
                <w:lang w:eastAsia="en-GB"/>
              </w:rPr>
            </w:pPr>
            <w:r w:rsidRPr="00036A76">
              <w:rPr>
                <w:sz w:val="22"/>
                <w:szCs w:val="22"/>
                <w:lang w:eastAsia="en-GB"/>
              </w:rPr>
              <w:t>TOKOVI GOTOVINE</w:t>
            </w:r>
          </w:p>
        </w:tc>
      </w:tr>
      <w:tr w:rsidR="003967F1" w:rsidRPr="00036A76" w:rsidTr="003967F1">
        <w:trPr>
          <w:trHeight w:val="349"/>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UKUPAN PRILIV GOTOVINE</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1.906.914</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1.319.197</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UKUPAN ODLIV GOTOVINE</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1.726.536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1.860.324</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D.NETO PRILIV GOTOVINE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180.378</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205769" w:rsidP="003967F1">
            <w:pPr>
              <w:ind w:left="0" w:firstLine="0"/>
              <w:contextualSpacing/>
              <w:jc w:val="right"/>
              <w:rPr>
                <w:sz w:val="22"/>
                <w:szCs w:val="22"/>
                <w:lang w:eastAsia="en-GB"/>
              </w:rPr>
            </w:pPr>
            <w:r w:rsidRPr="00036A76">
              <w:rPr>
                <w:sz w:val="22"/>
                <w:szCs w:val="22"/>
                <w:lang w:eastAsia="en-GB"/>
              </w:rPr>
              <w:t>0</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 xml:space="preserve">Đ.NETO ODLIV GOTOVINE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541.127</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E. Gotovina na početku perioda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329.776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870.903</w:t>
            </w:r>
          </w:p>
        </w:tc>
      </w:tr>
      <w:tr w:rsidR="003967F1" w:rsidRPr="00036A76"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rPr>
                <w:bCs/>
                <w:sz w:val="22"/>
                <w:szCs w:val="22"/>
                <w:lang w:eastAsia="en-GB"/>
              </w:rPr>
            </w:pPr>
            <w:r w:rsidRPr="00036A76">
              <w:rPr>
                <w:bCs/>
                <w:sz w:val="22"/>
                <w:szCs w:val="22"/>
                <w:lang w:eastAsia="en-GB"/>
              </w:rPr>
              <w:t>I. GOTOVINA NA KRAJU OBRAČUNSKOG PERIODA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036A76" w:rsidRDefault="00205769" w:rsidP="003967F1">
            <w:pPr>
              <w:ind w:left="0" w:firstLine="0"/>
              <w:contextualSpacing/>
              <w:jc w:val="right"/>
              <w:rPr>
                <w:sz w:val="22"/>
                <w:szCs w:val="22"/>
                <w:lang w:eastAsia="en-GB"/>
              </w:rPr>
            </w:pPr>
            <w:r w:rsidRPr="00036A76">
              <w:rPr>
                <w:sz w:val="22"/>
                <w:szCs w:val="22"/>
                <w:lang w:eastAsia="en-GB"/>
              </w:rPr>
              <w:t>510.154</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036A76" w:rsidRDefault="003967F1" w:rsidP="003967F1">
            <w:pPr>
              <w:ind w:left="0" w:firstLine="0"/>
              <w:contextualSpacing/>
              <w:jc w:val="right"/>
              <w:rPr>
                <w:sz w:val="22"/>
                <w:szCs w:val="22"/>
                <w:lang w:eastAsia="en-GB"/>
              </w:rPr>
            </w:pPr>
            <w:r w:rsidRPr="00036A76">
              <w:rPr>
                <w:sz w:val="22"/>
                <w:szCs w:val="22"/>
                <w:lang w:eastAsia="en-GB"/>
              </w:rPr>
              <w:t>329.776</w:t>
            </w:r>
          </w:p>
        </w:tc>
      </w:tr>
    </w:tbl>
    <w:p w:rsidR="00205132" w:rsidRPr="00036A76" w:rsidRDefault="003967F1" w:rsidP="00205132">
      <w:pPr>
        <w:ind w:left="0" w:firstLine="0"/>
        <w:contextualSpacing/>
        <w:rPr>
          <w:color w:val="FF0000"/>
        </w:rPr>
      </w:pPr>
      <w:r w:rsidRPr="00036A76">
        <w:rPr>
          <w:color w:val="FF0000"/>
        </w:rPr>
        <w:br w:type="textWrapping" w:clear="all"/>
      </w:r>
    </w:p>
    <w:tbl>
      <w:tblPr>
        <w:tblW w:w="10711" w:type="dxa"/>
        <w:tblInd w:w="250" w:type="dxa"/>
        <w:tblLook w:val="04A0"/>
      </w:tblPr>
      <w:tblGrid>
        <w:gridCol w:w="1418"/>
        <w:gridCol w:w="4586"/>
        <w:gridCol w:w="1316"/>
        <w:gridCol w:w="122"/>
        <w:gridCol w:w="1296"/>
        <w:gridCol w:w="677"/>
        <w:gridCol w:w="1296"/>
      </w:tblGrid>
      <w:tr w:rsidR="00205132" w:rsidRPr="00036A76" w:rsidTr="00205132">
        <w:trPr>
          <w:trHeight w:val="300"/>
        </w:trPr>
        <w:tc>
          <w:tcPr>
            <w:tcW w:w="9415" w:type="dxa"/>
            <w:gridSpan w:val="6"/>
            <w:tcBorders>
              <w:top w:val="nil"/>
              <w:left w:val="nil"/>
              <w:bottom w:val="nil"/>
              <w:right w:val="nil"/>
            </w:tcBorders>
            <w:shd w:val="clear" w:color="auto" w:fill="auto"/>
            <w:noWrap/>
            <w:vAlign w:val="bottom"/>
            <w:hideMark/>
          </w:tcPr>
          <w:p w:rsidR="00205132" w:rsidRPr="00036A76" w:rsidRDefault="00205132" w:rsidP="001C152D">
            <w:pPr>
              <w:ind w:left="0" w:firstLine="0"/>
              <w:contextualSpacing/>
              <w:rPr>
                <w:bCs/>
                <w:color w:val="000000"/>
                <w:sz w:val="22"/>
                <w:szCs w:val="22"/>
                <w:lang w:eastAsia="en-GB"/>
              </w:rPr>
            </w:pPr>
            <w:r w:rsidRPr="00036A76">
              <w:rPr>
                <w:bCs/>
                <w:color w:val="000000"/>
                <w:sz w:val="22"/>
                <w:szCs w:val="22"/>
                <w:lang w:eastAsia="en-GB"/>
              </w:rPr>
              <w:t xml:space="preserve">IZABRANE FINANSIJSKE INFORMACIJE  NA DAN </w:t>
            </w:r>
            <w:r w:rsidRPr="00036A76">
              <w:rPr>
                <w:bCs/>
                <w:sz w:val="22"/>
                <w:szCs w:val="22"/>
                <w:lang w:eastAsia="en-GB"/>
              </w:rPr>
              <w:t>3</w:t>
            </w:r>
            <w:r w:rsidR="001C152D" w:rsidRPr="00036A76">
              <w:rPr>
                <w:bCs/>
                <w:sz w:val="22"/>
                <w:szCs w:val="22"/>
                <w:lang w:eastAsia="en-GB"/>
              </w:rPr>
              <w:t>0.06</w:t>
            </w:r>
            <w:r w:rsidRPr="00036A76">
              <w:rPr>
                <w:bCs/>
                <w:sz w:val="22"/>
                <w:szCs w:val="22"/>
                <w:lang w:eastAsia="en-GB"/>
              </w:rPr>
              <w:t>.201</w:t>
            </w:r>
            <w:r w:rsidR="001C152D" w:rsidRPr="00036A76">
              <w:rPr>
                <w:bCs/>
                <w:sz w:val="22"/>
                <w:szCs w:val="22"/>
                <w:lang w:eastAsia="en-GB"/>
              </w:rPr>
              <w:t>6</w:t>
            </w:r>
            <w:r w:rsidRPr="00036A76">
              <w:rPr>
                <w:bCs/>
                <w:sz w:val="22"/>
                <w:szCs w:val="22"/>
                <w:lang w:eastAsia="en-GB"/>
              </w:rPr>
              <w:t>. GODINE</w:t>
            </w:r>
          </w:p>
        </w:tc>
        <w:tc>
          <w:tcPr>
            <w:tcW w:w="1296" w:type="dxa"/>
            <w:tcBorders>
              <w:top w:val="nil"/>
              <w:left w:val="nil"/>
              <w:bottom w:val="nil"/>
              <w:right w:val="nil"/>
            </w:tcBorders>
            <w:shd w:val="clear" w:color="auto" w:fill="auto"/>
            <w:noWrap/>
            <w:vAlign w:val="bottom"/>
            <w:hideMark/>
          </w:tcPr>
          <w:p w:rsidR="00205132" w:rsidRPr="00036A76" w:rsidRDefault="00205132" w:rsidP="00205132">
            <w:pPr>
              <w:ind w:left="0" w:firstLine="0"/>
              <w:contextualSpacing/>
              <w:rPr>
                <w:color w:val="000000"/>
                <w:sz w:val="22"/>
                <w:szCs w:val="22"/>
                <w:lang w:eastAsia="en-GB"/>
              </w:rPr>
            </w:pPr>
          </w:p>
        </w:tc>
      </w:tr>
      <w:tr w:rsidR="00205132" w:rsidRPr="00036A76" w:rsidTr="00205132">
        <w:trPr>
          <w:gridAfter w:val="2"/>
          <w:wAfter w:w="1993" w:type="dxa"/>
          <w:trHeight w:val="300"/>
        </w:trPr>
        <w:tc>
          <w:tcPr>
            <w:tcW w:w="1418" w:type="dxa"/>
            <w:tcBorders>
              <w:top w:val="nil"/>
              <w:left w:val="nil"/>
              <w:bottom w:val="nil"/>
              <w:right w:val="nil"/>
            </w:tcBorders>
            <w:shd w:val="clear" w:color="auto" w:fill="auto"/>
            <w:noWrap/>
            <w:vAlign w:val="bottom"/>
            <w:hideMark/>
          </w:tcPr>
          <w:p w:rsidR="00205132" w:rsidRPr="00036A76" w:rsidRDefault="00205132" w:rsidP="00205132">
            <w:pPr>
              <w:ind w:left="0" w:firstLine="0"/>
              <w:contextualSpacing/>
              <w:rPr>
                <w:color w:val="000000"/>
                <w:sz w:val="22"/>
                <w:szCs w:val="22"/>
                <w:lang w:eastAsia="en-GB"/>
              </w:rPr>
            </w:pPr>
          </w:p>
        </w:tc>
        <w:tc>
          <w:tcPr>
            <w:tcW w:w="6004" w:type="dxa"/>
            <w:gridSpan w:val="3"/>
            <w:tcBorders>
              <w:top w:val="nil"/>
              <w:left w:val="nil"/>
              <w:bottom w:val="nil"/>
              <w:right w:val="nil"/>
            </w:tcBorders>
            <w:shd w:val="clear" w:color="auto" w:fill="auto"/>
            <w:noWrap/>
            <w:vAlign w:val="bottom"/>
            <w:hideMark/>
          </w:tcPr>
          <w:p w:rsidR="00205132" w:rsidRPr="00036A76" w:rsidRDefault="00205132" w:rsidP="00205132">
            <w:pPr>
              <w:ind w:left="0" w:firstLine="0"/>
              <w:contextualSpacing/>
              <w:rPr>
                <w:color w:val="000000"/>
                <w:sz w:val="22"/>
                <w:szCs w:val="22"/>
                <w:lang w:eastAsia="en-GB"/>
              </w:rPr>
            </w:pPr>
          </w:p>
        </w:tc>
        <w:tc>
          <w:tcPr>
            <w:tcW w:w="1296" w:type="dxa"/>
            <w:tcBorders>
              <w:top w:val="nil"/>
              <w:left w:val="nil"/>
              <w:bottom w:val="nil"/>
              <w:right w:val="nil"/>
            </w:tcBorders>
            <w:shd w:val="clear" w:color="auto" w:fill="auto"/>
            <w:noWrap/>
            <w:vAlign w:val="bottom"/>
            <w:hideMark/>
          </w:tcPr>
          <w:p w:rsidR="00205132" w:rsidRPr="00036A76" w:rsidRDefault="00205132" w:rsidP="00205132">
            <w:pPr>
              <w:ind w:left="0" w:firstLine="0"/>
              <w:contextualSpacing/>
              <w:rPr>
                <w:color w:val="000000"/>
                <w:sz w:val="22"/>
                <w:szCs w:val="22"/>
                <w:lang w:eastAsia="en-GB"/>
              </w:rPr>
            </w:pPr>
            <w:r w:rsidRPr="00036A76">
              <w:rPr>
                <w:color w:val="000000"/>
                <w:sz w:val="22"/>
                <w:szCs w:val="22"/>
                <w:lang w:eastAsia="en-GB"/>
              </w:rPr>
              <w:t>(u KM)</w:t>
            </w:r>
          </w:p>
        </w:tc>
      </w:tr>
      <w:tr w:rsidR="00205132" w:rsidRPr="00036A76" w:rsidTr="009C1D7C">
        <w:trPr>
          <w:gridAfter w:val="2"/>
          <w:wAfter w:w="1993" w:type="dxa"/>
          <w:trHeight w:val="40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036A76" w:rsidRDefault="00205132" w:rsidP="00205132">
            <w:pPr>
              <w:ind w:left="0" w:firstLine="0"/>
              <w:contextualSpacing/>
              <w:rPr>
                <w:b/>
                <w:sz w:val="22"/>
                <w:szCs w:val="22"/>
                <w:lang w:eastAsia="en-GB"/>
              </w:rPr>
            </w:pPr>
            <w:r w:rsidRPr="00036A76">
              <w:rPr>
                <w:b/>
                <w:sz w:val="22"/>
                <w:szCs w:val="22"/>
                <w:lang w:eastAsia="en-GB"/>
              </w:rPr>
              <w:t>Pozicija</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205132" w:rsidRPr="00036A76" w:rsidRDefault="001C152D" w:rsidP="001C152D">
            <w:pPr>
              <w:ind w:left="0" w:firstLine="0"/>
              <w:contextualSpacing/>
              <w:rPr>
                <w:b/>
                <w:sz w:val="22"/>
                <w:szCs w:val="22"/>
                <w:lang w:eastAsia="en-GB"/>
              </w:rPr>
            </w:pPr>
            <w:r w:rsidRPr="00036A76">
              <w:rPr>
                <w:b/>
                <w:sz w:val="22"/>
                <w:szCs w:val="22"/>
                <w:lang w:eastAsia="en-GB"/>
              </w:rPr>
              <w:t>30.06.</w:t>
            </w:r>
            <w:r w:rsidR="00205132" w:rsidRPr="00036A76">
              <w:rPr>
                <w:b/>
                <w:sz w:val="22"/>
                <w:szCs w:val="22"/>
                <w:lang w:eastAsia="en-GB"/>
              </w:rPr>
              <w:t>201</w:t>
            </w:r>
            <w:r w:rsidRPr="00036A76">
              <w:rPr>
                <w:b/>
                <w:sz w:val="22"/>
                <w:szCs w:val="22"/>
                <w:lang w:eastAsia="en-GB"/>
              </w:rPr>
              <w:t>6</w:t>
            </w:r>
            <w:r w:rsidR="00205132" w:rsidRPr="00036A76">
              <w:rPr>
                <w:b/>
                <w:sz w:val="22"/>
                <w:szCs w:val="22"/>
                <w:lang w:eastAsia="en-GB"/>
              </w:rPr>
              <w:t>. god.</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1C152D" w:rsidP="001C152D">
            <w:pPr>
              <w:ind w:left="0" w:firstLine="0"/>
              <w:contextualSpacing/>
              <w:rPr>
                <w:b/>
                <w:sz w:val="22"/>
                <w:szCs w:val="22"/>
                <w:lang w:eastAsia="en-GB"/>
              </w:rPr>
            </w:pPr>
            <w:r w:rsidRPr="00036A76">
              <w:rPr>
                <w:b/>
                <w:sz w:val="22"/>
                <w:szCs w:val="22"/>
                <w:lang w:eastAsia="en-GB"/>
              </w:rPr>
              <w:t>30.06.</w:t>
            </w:r>
            <w:r w:rsidR="00205132" w:rsidRPr="00036A76">
              <w:rPr>
                <w:b/>
                <w:sz w:val="22"/>
                <w:szCs w:val="22"/>
                <w:lang w:eastAsia="en-GB"/>
              </w:rPr>
              <w:t>201</w:t>
            </w:r>
            <w:r w:rsidRPr="00036A76">
              <w:rPr>
                <w:b/>
                <w:sz w:val="22"/>
                <w:szCs w:val="22"/>
                <w:lang w:eastAsia="en-GB"/>
              </w:rPr>
              <w:t>5</w:t>
            </w:r>
            <w:r w:rsidR="00205132" w:rsidRPr="00036A76">
              <w:rPr>
                <w:b/>
                <w:sz w:val="22"/>
                <w:szCs w:val="22"/>
                <w:lang w:eastAsia="en-GB"/>
              </w:rPr>
              <w:t xml:space="preserve"> god.</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UKUPNA IMOVINA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24.919.078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26.957.243</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sz w:val="22"/>
                <w:szCs w:val="22"/>
                <w:lang w:eastAsia="en-GB"/>
              </w:rPr>
            </w:pPr>
            <w:r w:rsidRPr="00036A76">
              <w:rPr>
                <w:sz w:val="22"/>
                <w:szCs w:val="22"/>
                <w:lang w:eastAsia="en-GB"/>
              </w:rPr>
              <w:t xml:space="preserve"> I - Gotovina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977.591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510.154</w:t>
            </w:r>
          </w:p>
        </w:tc>
      </w:tr>
      <w:tr w:rsidR="00205132" w:rsidRPr="00036A76" w:rsidTr="009C1D7C">
        <w:trPr>
          <w:gridAfter w:val="2"/>
          <w:wAfter w:w="1993" w:type="dxa"/>
          <w:trHeight w:val="36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036A76" w:rsidRDefault="00205132" w:rsidP="00205132">
            <w:pPr>
              <w:ind w:left="0" w:firstLine="0"/>
              <w:contextualSpacing/>
              <w:rPr>
                <w:sz w:val="22"/>
                <w:szCs w:val="22"/>
                <w:lang w:eastAsia="en-GB"/>
              </w:rPr>
            </w:pPr>
            <w:r w:rsidRPr="00036A76">
              <w:rPr>
                <w:sz w:val="22"/>
                <w:szCs w:val="22"/>
                <w:lang w:eastAsia="en-GB"/>
              </w:rPr>
              <w:t xml:space="preserve">II </w:t>
            </w:r>
            <w:r w:rsidR="0018266D" w:rsidRPr="00036A76">
              <w:rPr>
                <w:sz w:val="22"/>
                <w:szCs w:val="22"/>
                <w:lang w:eastAsia="en-GB"/>
              </w:rPr>
              <w:t xml:space="preserve">1. </w:t>
            </w:r>
            <w:r w:rsidRPr="00036A76">
              <w:rPr>
                <w:sz w:val="22"/>
                <w:szCs w:val="22"/>
                <w:lang w:eastAsia="en-GB"/>
              </w:rPr>
              <w:t xml:space="preserve"> Ulaganja fonda u finansijska sredstva raspoloživa za prodaju</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F02326" w:rsidP="0018266D">
            <w:pPr>
              <w:ind w:left="0" w:firstLine="0"/>
              <w:contextualSpacing/>
              <w:jc w:val="right"/>
              <w:rPr>
                <w:sz w:val="22"/>
                <w:szCs w:val="22"/>
              </w:rPr>
            </w:pPr>
            <w:r w:rsidRPr="00036A76">
              <w:rPr>
                <w:sz w:val="22"/>
                <w:szCs w:val="22"/>
              </w:rPr>
              <w:t>11.</w:t>
            </w:r>
            <w:r w:rsidR="0018266D" w:rsidRPr="00036A76">
              <w:rPr>
                <w:sz w:val="22"/>
                <w:szCs w:val="22"/>
              </w:rPr>
              <w:t>617.198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F02326" w:rsidP="0018266D">
            <w:pPr>
              <w:ind w:left="0" w:firstLine="0"/>
              <w:contextualSpacing/>
              <w:jc w:val="right"/>
              <w:rPr>
                <w:sz w:val="22"/>
                <w:szCs w:val="22"/>
              </w:rPr>
            </w:pPr>
            <w:r w:rsidRPr="00036A76">
              <w:rPr>
                <w:sz w:val="22"/>
                <w:szCs w:val="22"/>
              </w:rPr>
              <w:t>11</w:t>
            </w:r>
            <w:r w:rsidR="0018266D" w:rsidRPr="00036A76">
              <w:rPr>
                <w:sz w:val="22"/>
                <w:szCs w:val="22"/>
              </w:rPr>
              <w:t>.024.481</w:t>
            </w:r>
          </w:p>
        </w:tc>
      </w:tr>
      <w:tr w:rsidR="0018266D" w:rsidRPr="00036A76" w:rsidTr="009C1D7C">
        <w:trPr>
          <w:gridAfter w:val="2"/>
          <w:wAfter w:w="1993" w:type="dxa"/>
          <w:trHeight w:val="36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66D" w:rsidRPr="00036A76" w:rsidRDefault="0018266D" w:rsidP="00205132">
            <w:pPr>
              <w:ind w:left="0" w:firstLine="0"/>
              <w:contextualSpacing/>
              <w:rPr>
                <w:sz w:val="22"/>
                <w:szCs w:val="22"/>
                <w:lang w:eastAsia="en-GB"/>
              </w:rPr>
            </w:pPr>
            <w:r w:rsidRPr="00036A76">
              <w:rPr>
                <w:sz w:val="22"/>
                <w:szCs w:val="22"/>
                <w:lang w:eastAsia="en-GB"/>
              </w:rPr>
              <w:t>2. Ulaganja fonda u finansijska sredstva po fer vrijednosti kroz bilans uspjeha</w:t>
            </w:r>
          </w:p>
        </w:tc>
        <w:tc>
          <w:tcPr>
            <w:tcW w:w="1296" w:type="dxa"/>
            <w:tcBorders>
              <w:top w:val="nil"/>
              <w:left w:val="nil"/>
              <w:bottom w:val="single" w:sz="4" w:space="0" w:color="auto"/>
              <w:right w:val="single" w:sz="4" w:space="0" w:color="auto"/>
            </w:tcBorders>
            <w:shd w:val="clear" w:color="auto" w:fill="auto"/>
            <w:noWrap/>
            <w:vAlign w:val="bottom"/>
            <w:hideMark/>
          </w:tcPr>
          <w:p w:rsidR="0018266D" w:rsidRPr="00036A76" w:rsidRDefault="0018266D" w:rsidP="0018266D">
            <w:pPr>
              <w:ind w:left="0" w:firstLine="0"/>
              <w:contextualSpacing/>
              <w:jc w:val="right"/>
              <w:rPr>
                <w:sz w:val="22"/>
                <w:szCs w:val="22"/>
              </w:rPr>
            </w:pPr>
            <w:r w:rsidRPr="00036A76">
              <w:rPr>
                <w:sz w:val="22"/>
                <w:szCs w:val="22"/>
              </w:rPr>
              <w:t>12.303.591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266D" w:rsidRPr="00036A76" w:rsidRDefault="0018266D" w:rsidP="0018266D">
            <w:pPr>
              <w:ind w:left="0" w:firstLine="0"/>
              <w:contextualSpacing/>
              <w:jc w:val="right"/>
              <w:rPr>
                <w:sz w:val="22"/>
                <w:szCs w:val="22"/>
              </w:rPr>
            </w:pPr>
            <w:r w:rsidRPr="00036A76">
              <w:rPr>
                <w:sz w:val="22"/>
                <w:szCs w:val="22"/>
              </w:rPr>
              <w:t>15.410.131</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sz w:val="22"/>
                <w:szCs w:val="22"/>
                <w:lang w:eastAsia="en-GB"/>
              </w:rPr>
            </w:pPr>
            <w:r w:rsidRPr="00036A76">
              <w:rPr>
                <w:sz w:val="22"/>
                <w:szCs w:val="22"/>
                <w:lang w:eastAsia="en-GB"/>
              </w:rPr>
              <w:t>III Depoziti i plasmani</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F02326" w:rsidP="00205132">
            <w:pPr>
              <w:ind w:left="0" w:firstLine="0"/>
              <w:contextualSpacing/>
              <w:jc w:val="right"/>
              <w:rPr>
                <w:sz w:val="22"/>
                <w:szCs w:val="22"/>
                <w:lang w:eastAsia="en-GB"/>
              </w:rPr>
            </w:pPr>
            <w:r w:rsidRPr="00036A76">
              <w:rPr>
                <w:sz w:val="22"/>
                <w:szCs w:val="22"/>
                <w:lang w:eastAsia="en-GB"/>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F02326" w:rsidP="00205132">
            <w:pPr>
              <w:ind w:left="0" w:firstLine="0"/>
              <w:contextualSpacing/>
              <w:jc w:val="right"/>
              <w:rPr>
                <w:sz w:val="22"/>
                <w:szCs w:val="22"/>
                <w:lang w:eastAsia="en-GB"/>
              </w:rPr>
            </w:pPr>
            <w:r w:rsidRPr="00036A76">
              <w:rPr>
                <w:sz w:val="22"/>
                <w:szCs w:val="22"/>
                <w:lang w:eastAsia="en-GB"/>
              </w:rPr>
              <w:t>0</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sz w:val="22"/>
                <w:szCs w:val="22"/>
                <w:lang w:eastAsia="en-GB"/>
              </w:rPr>
            </w:pPr>
            <w:r w:rsidRPr="00036A76">
              <w:rPr>
                <w:sz w:val="22"/>
                <w:szCs w:val="22"/>
                <w:lang w:eastAsia="en-GB"/>
              </w:rPr>
              <w:t xml:space="preserve">IV   Potraživanja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4A23D9" w:rsidP="00205132">
            <w:pPr>
              <w:ind w:left="0" w:firstLine="0"/>
              <w:contextualSpacing/>
              <w:jc w:val="right"/>
              <w:rPr>
                <w:sz w:val="22"/>
                <w:szCs w:val="22"/>
              </w:rPr>
            </w:pPr>
            <w:r w:rsidRPr="00036A76">
              <w:rPr>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4A23D9" w:rsidP="00205132">
            <w:pPr>
              <w:ind w:left="0" w:firstLine="0"/>
              <w:contextualSpacing/>
              <w:jc w:val="right"/>
              <w:rPr>
                <w:sz w:val="22"/>
                <w:szCs w:val="22"/>
              </w:rPr>
            </w:pPr>
            <w:r w:rsidRPr="00036A76">
              <w:rPr>
                <w:sz w:val="22"/>
                <w:szCs w:val="22"/>
              </w:rPr>
              <w:t>0</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OBAVEZE</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jc w:val="right"/>
              <w:rPr>
                <w:sz w:val="22"/>
                <w:szCs w:val="22"/>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jc w:val="right"/>
              <w:rPr>
                <w:sz w:val="22"/>
                <w:szCs w:val="22"/>
              </w:rPr>
            </w:pP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sz w:val="22"/>
                <w:szCs w:val="22"/>
                <w:lang w:eastAsia="en-GB"/>
              </w:rPr>
            </w:pPr>
            <w:r w:rsidRPr="00036A76">
              <w:rPr>
                <w:sz w:val="22"/>
                <w:szCs w:val="22"/>
                <w:lang w:eastAsia="en-GB"/>
              </w:rPr>
              <w:t xml:space="preserve">V-Obaveze po osnovu troškova poslovanja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18266D" w:rsidP="0018266D">
            <w:pPr>
              <w:ind w:left="0" w:firstLine="0"/>
              <w:contextualSpacing/>
              <w:jc w:val="right"/>
              <w:rPr>
                <w:sz w:val="22"/>
                <w:szCs w:val="22"/>
              </w:rPr>
            </w:pPr>
            <w:r w:rsidRPr="00036A76">
              <w:rPr>
                <w:sz w:val="22"/>
                <w:szCs w:val="22"/>
              </w:rPr>
              <w:t>7.150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12.718</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sz w:val="22"/>
                <w:szCs w:val="22"/>
                <w:lang w:eastAsia="en-GB"/>
              </w:rPr>
            </w:pPr>
            <w:r w:rsidRPr="00036A76">
              <w:rPr>
                <w:sz w:val="22"/>
                <w:szCs w:val="22"/>
                <w:lang w:eastAsia="en-GB"/>
              </w:rPr>
              <w:t>VI- Obaveze prema društvu za upavljanje</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9C1D7C" w:rsidP="0018266D">
            <w:pPr>
              <w:ind w:left="0" w:firstLine="0"/>
              <w:contextualSpacing/>
              <w:jc w:val="right"/>
              <w:rPr>
                <w:sz w:val="22"/>
                <w:szCs w:val="22"/>
              </w:rPr>
            </w:pPr>
            <w:r w:rsidRPr="00036A76">
              <w:rPr>
                <w:sz w:val="22"/>
                <w:szCs w:val="22"/>
              </w:rPr>
              <w:t>1.</w:t>
            </w:r>
            <w:r w:rsidR="0018266D" w:rsidRPr="00036A76">
              <w:rPr>
                <w:sz w:val="22"/>
                <w:szCs w:val="22"/>
              </w:rPr>
              <w:t>604.784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1.784.222</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NETO IMOVINA FONDA </w:t>
            </w:r>
          </w:p>
        </w:tc>
        <w:tc>
          <w:tcPr>
            <w:tcW w:w="1296" w:type="dxa"/>
            <w:tcBorders>
              <w:top w:val="nil"/>
              <w:left w:val="nil"/>
              <w:bottom w:val="nil"/>
              <w:right w:val="single" w:sz="4" w:space="0" w:color="auto"/>
            </w:tcBorders>
            <w:shd w:val="clear" w:color="auto" w:fill="auto"/>
            <w:noWrap/>
            <w:vAlign w:val="bottom"/>
            <w:hideMark/>
          </w:tcPr>
          <w:p w:rsidR="00205132" w:rsidRPr="00036A76" w:rsidRDefault="0018266D" w:rsidP="0018266D">
            <w:pPr>
              <w:ind w:left="0" w:firstLine="0"/>
              <w:contextualSpacing/>
              <w:jc w:val="right"/>
              <w:rPr>
                <w:sz w:val="22"/>
                <w:szCs w:val="22"/>
              </w:rPr>
            </w:pPr>
            <w:r w:rsidRPr="00036A76">
              <w:rPr>
                <w:sz w:val="22"/>
                <w:szCs w:val="22"/>
              </w:rPr>
              <w:t>23.186.877</w:t>
            </w:r>
          </w:p>
        </w:tc>
        <w:tc>
          <w:tcPr>
            <w:tcW w:w="1418" w:type="dxa"/>
            <w:gridSpan w:val="2"/>
            <w:tcBorders>
              <w:top w:val="nil"/>
              <w:left w:val="nil"/>
              <w:bottom w:val="nil"/>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25.011.476</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KAPITAL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036A76" w:rsidRDefault="009C1D7C" w:rsidP="0018266D">
            <w:pPr>
              <w:ind w:left="0" w:firstLine="0"/>
              <w:contextualSpacing/>
              <w:jc w:val="right"/>
              <w:rPr>
                <w:sz w:val="22"/>
                <w:szCs w:val="22"/>
              </w:rPr>
            </w:pPr>
            <w:r w:rsidRPr="00036A76">
              <w:rPr>
                <w:sz w:val="22"/>
                <w:szCs w:val="22"/>
              </w:rPr>
              <w:t>2</w:t>
            </w:r>
            <w:r w:rsidR="0018266D" w:rsidRPr="00036A76">
              <w:rPr>
                <w:sz w:val="22"/>
                <w:szCs w:val="22"/>
              </w:rPr>
              <w:t>3.186.877</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25.011.476</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Osnovni  akcijski kapital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036A76" w:rsidRDefault="009C1D7C" w:rsidP="00205132">
            <w:pPr>
              <w:ind w:left="0" w:firstLine="0"/>
              <w:contextualSpacing/>
              <w:jc w:val="right"/>
              <w:rPr>
                <w:sz w:val="22"/>
                <w:szCs w:val="22"/>
              </w:rPr>
            </w:pPr>
            <w:r w:rsidRPr="00036A76">
              <w:rPr>
                <w:sz w:val="22"/>
                <w:szCs w:val="22"/>
              </w:rPr>
              <w:t>187.191.287</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05132" w:rsidRPr="00036A76" w:rsidRDefault="009C1D7C" w:rsidP="00205132">
            <w:pPr>
              <w:ind w:left="0" w:firstLine="0"/>
              <w:contextualSpacing/>
              <w:jc w:val="right"/>
              <w:rPr>
                <w:sz w:val="22"/>
                <w:szCs w:val="22"/>
              </w:rPr>
            </w:pPr>
            <w:r w:rsidRPr="00036A76">
              <w:rPr>
                <w:sz w:val="22"/>
                <w:szCs w:val="22"/>
              </w:rPr>
              <w:t>187.191.287</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Kapitalne rezerve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036A76" w:rsidRDefault="009C1D7C" w:rsidP="00205132">
            <w:pPr>
              <w:ind w:left="0" w:firstLine="0"/>
              <w:contextualSpacing/>
              <w:jc w:val="right"/>
              <w:rPr>
                <w:sz w:val="22"/>
                <w:szCs w:val="22"/>
              </w:rPr>
            </w:pPr>
            <w:r w:rsidRPr="00036A76">
              <w:rPr>
                <w:sz w:val="22"/>
                <w:szCs w:val="22"/>
              </w:rPr>
              <w:t>2.619.595</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05132" w:rsidRPr="00036A76" w:rsidRDefault="009C1D7C" w:rsidP="00205132">
            <w:pPr>
              <w:ind w:left="0" w:firstLine="0"/>
              <w:contextualSpacing/>
              <w:jc w:val="right"/>
              <w:rPr>
                <w:sz w:val="22"/>
                <w:szCs w:val="22"/>
              </w:rPr>
            </w:pPr>
            <w:r w:rsidRPr="00036A76">
              <w:rPr>
                <w:sz w:val="22"/>
                <w:szCs w:val="22"/>
              </w:rPr>
              <w:t>2.619.595</w:t>
            </w:r>
          </w:p>
        </w:tc>
      </w:tr>
      <w:tr w:rsidR="00205132" w:rsidRPr="00036A76" w:rsidTr="009C1D7C">
        <w:trPr>
          <w:gridAfter w:val="2"/>
          <w:wAfter w:w="1993" w:type="dxa"/>
          <w:trHeight w:val="315"/>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Rev. rezerve po osnovu fin.sredstava raspoloživih za prodaju</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036A76" w:rsidRDefault="009C1D7C" w:rsidP="0018266D">
            <w:pPr>
              <w:ind w:left="0" w:firstLine="0"/>
              <w:contextualSpacing/>
              <w:jc w:val="right"/>
              <w:rPr>
                <w:sz w:val="22"/>
                <w:szCs w:val="22"/>
              </w:rPr>
            </w:pPr>
            <w:r w:rsidRPr="00036A76">
              <w:rPr>
                <w:sz w:val="22"/>
                <w:szCs w:val="22"/>
              </w:rPr>
              <w:t>-4</w:t>
            </w:r>
            <w:r w:rsidR="0018266D" w:rsidRPr="00036A76">
              <w:rPr>
                <w:sz w:val="22"/>
                <w:szCs w:val="22"/>
              </w:rPr>
              <w:t>1.981.756</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-45.888.357</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Neraspoređena dobit ranijih godina</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9C1D7C" w:rsidP="00205132">
            <w:pPr>
              <w:ind w:left="0" w:firstLine="0"/>
              <w:contextualSpacing/>
              <w:jc w:val="right"/>
              <w:rPr>
                <w:sz w:val="22"/>
                <w:szCs w:val="22"/>
                <w:lang w:eastAsia="en-GB"/>
              </w:rPr>
            </w:pPr>
            <w:r w:rsidRPr="00036A76">
              <w:rPr>
                <w:sz w:val="22"/>
                <w:szCs w:val="22"/>
                <w:lang w:eastAsia="en-GB"/>
              </w:rPr>
              <w:t>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9C1D7C" w:rsidP="00205132">
            <w:pPr>
              <w:ind w:left="0" w:firstLine="0"/>
              <w:contextualSpacing/>
              <w:jc w:val="right"/>
              <w:rPr>
                <w:sz w:val="22"/>
                <w:szCs w:val="22"/>
                <w:lang w:eastAsia="en-GB"/>
              </w:rPr>
            </w:pPr>
            <w:r w:rsidRPr="00036A76">
              <w:rPr>
                <w:sz w:val="22"/>
                <w:szCs w:val="22"/>
                <w:lang w:eastAsia="en-GB"/>
              </w:rPr>
              <w:t>0</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Nepokriveni gubitak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107.152.526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103.818.590</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sz w:val="22"/>
                <w:szCs w:val="22"/>
                <w:lang w:eastAsia="en-GB"/>
              </w:rPr>
            </w:pPr>
            <w:r w:rsidRPr="00036A76">
              <w:rPr>
                <w:sz w:val="22"/>
                <w:szCs w:val="22"/>
                <w:lang w:eastAsia="en-GB"/>
              </w:rPr>
              <w:t>1. Nepokriven gubitak ranijih godina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9C1D7C" w:rsidP="0018266D">
            <w:pPr>
              <w:ind w:left="0" w:firstLine="0"/>
              <w:contextualSpacing/>
              <w:jc w:val="right"/>
              <w:rPr>
                <w:sz w:val="22"/>
                <w:szCs w:val="22"/>
              </w:rPr>
            </w:pPr>
            <w:r w:rsidRPr="00036A76">
              <w:rPr>
                <w:sz w:val="22"/>
                <w:szCs w:val="22"/>
              </w:rPr>
              <w:t>103.</w:t>
            </w:r>
            <w:r w:rsidR="0018266D" w:rsidRPr="00036A76">
              <w:rPr>
                <w:sz w:val="22"/>
                <w:szCs w:val="22"/>
              </w:rPr>
              <w:t>818.590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103.223.288</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sz w:val="22"/>
                <w:szCs w:val="22"/>
                <w:lang w:eastAsia="en-GB"/>
              </w:rPr>
            </w:pPr>
            <w:r w:rsidRPr="00036A76">
              <w:rPr>
                <w:sz w:val="22"/>
                <w:szCs w:val="22"/>
                <w:lang w:eastAsia="en-GB"/>
              </w:rPr>
              <w:t>2. Nepokriven gubitak tekuće godine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3.333.936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595.302</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BROJ EMITOVANIH AKCIJA/UDJELA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9C1D7C" w:rsidP="00205132">
            <w:pPr>
              <w:ind w:left="0" w:firstLine="0"/>
              <w:contextualSpacing/>
              <w:jc w:val="right"/>
              <w:rPr>
                <w:sz w:val="22"/>
                <w:szCs w:val="22"/>
                <w:lang w:eastAsia="en-GB"/>
              </w:rPr>
            </w:pPr>
            <w:r w:rsidRPr="00036A76">
              <w:rPr>
                <w:sz w:val="22"/>
                <w:szCs w:val="22"/>
                <w:lang w:eastAsia="en-GB"/>
              </w:rPr>
              <w:t>187.191.287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9C1D7C" w:rsidP="00205132">
            <w:pPr>
              <w:ind w:left="0" w:firstLine="0"/>
              <w:contextualSpacing/>
              <w:jc w:val="right"/>
              <w:rPr>
                <w:sz w:val="22"/>
                <w:szCs w:val="22"/>
                <w:lang w:eastAsia="en-GB"/>
              </w:rPr>
            </w:pPr>
            <w:r w:rsidRPr="00036A76">
              <w:rPr>
                <w:sz w:val="22"/>
                <w:szCs w:val="22"/>
                <w:lang w:eastAsia="en-GB"/>
              </w:rPr>
              <w:t>187.191.287</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     NETO IMOVINA PO UDJELU/AKCIJI (040/063)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9C1D7C" w:rsidP="0018266D">
            <w:pPr>
              <w:ind w:left="0" w:firstLine="0"/>
              <w:contextualSpacing/>
              <w:jc w:val="right"/>
              <w:rPr>
                <w:sz w:val="22"/>
                <w:szCs w:val="22"/>
              </w:rPr>
            </w:pPr>
            <w:r w:rsidRPr="00036A76">
              <w:rPr>
                <w:sz w:val="22"/>
                <w:szCs w:val="22"/>
              </w:rPr>
              <w:t>0,1</w:t>
            </w:r>
            <w:r w:rsidR="0018266D" w:rsidRPr="00036A76">
              <w:rPr>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9C1D7C" w:rsidP="0018266D">
            <w:pPr>
              <w:ind w:left="0" w:firstLine="0"/>
              <w:contextualSpacing/>
              <w:jc w:val="right"/>
              <w:rPr>
                <w:sz w:val="22"/>
                <w:szCs w:val="22"/>
              </w:rPr>
            </w:pPr>
            <w:r w:rsidRPr="00036A76">
              <w:rPr>
                <w:sz w:val="22"/>
                <w:szCs w:val="22"/>
              </w:rPr>
              <w:t>0,1</w:t>
            </w:r>
            <w:r w:rsidR="0018266D" w:rsidRPr="00036A76">
              <w:rPr>
                <w:sz w:val="22"/>
                <w:szCs w:val="22"/>
              </w:rPr>
              <w:t>3</w:t>
            </w:r>
          </w:p>
        </w:tc>
      </w:tr>
      <w:tr w:rsidR="00205132" w:rsidRPr="00036A76" w:rsidTr="009C1D7C">
        <w:trPr>
          <w:gridAfter w:val="2"/>
          <w:wAfter w:w="1993" w:type="dxa"/>
          <w:trHeight w:val="300"/>
        </w:trPr>
        <w:tc>
          <w:tcPr>
            <w:tcW w:w="87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PRIHODI I RASHODI</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I - Poslovni prihodi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654.556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862.776</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II - Realizovan dobitak od prodaje HOV</w:t>
            </w:r>
          </w:p>
        </w:tc>
        <w:tc>
          <w:tcPr>
            <w:tcW w:w="1296" w:type="dxa"/>
            <w:tcBorders>
              <w:top w:val="nil"/>
              <w:left w:val="nil"/>
              <w:bottom w:val="single" w:sz="4" w:space="0" w:color="auto"/>
              <w:right w:val="single" w:sz="4" w:space="0" w:color="auto"/>
            </w:tcBorders>
            <w:shd w:val="clear" w:color="auto" w:fill="auto"/>
            <w:noWrap/>
            <w:vAlign w:val="bottom"/>
          </w:tcPr>
          <w:p w:rsidR="00205132" w:rsidRPr="00036A76" w:rsidRDefault="0018266D" w:rsidP="00205132">
            <w:pPr>
              <w:ind w:left="0" w:firstLine="0"/>
              <w:contextualSpacing/>
              <w:jc w:val="right"/>
              <w:rPr>
                <w:sz w:val="22"/>
                <w:szCs w:val="22"/>
                <w:lang w:eastAsia="en-GB"/>
              </w:rPr>
            </w:pPr>
            <w:r w:rsidRPr="00036A76">
              <w:rPr>
                <w:sz w:val="22"/>
                <w:szCs w:val="22"/>
                <w:lang w:eastAsia="en-GB"/>
              </w:rPr>
              <w:t>0</w:t>
            </w:r>
          </w:p>
        </w:tc>
        <w:tc>
          <w:tcPr>
            <w:tcW w:w="1418" w:type="dxa"/>
            <w:gridSpan w:val="2"/>
            <w:tcBorders>
              <w:top w:val="nil"/>
              <w:left w:val="nil"/>
              <w:bottom w:val="single" w:sz="4" w:space="0" w:color="auto"/>
              <w:right w:val="single" w:sz="4" w:space="0" w:color="auto"/>
            </w:tcBorders>
            <w:shd w:val="clear" w:color="auto" w:fill="auto"/>
            <w:noWrap/>
            <w:vAlign w:val="bottom"/>
          </w:tcPr>
          <w:p w:rsidR="00205132" w:rsidRPr="00036A76" w:rsidRDefault="0018266D" w:rsidP="0018266D">
            <w:pPr>
              <w:ind w:left="0" w:firstLine="0"/>
              <w:contextualSpacing/>
              <w:jc w:val="right"/>
              <w:rPr>
                <w:sz w:val="22"/>
                <w:szCs w:val="22"/>
                <w:lang w:eastAsia="en-GB"/>
              </w:rPr>
            </w:pPr>
            <w:r w:rsidRPr="00036A76">
              <w:rPr>
                <w:sz w:val="22"/>
                <w:szCs w:val="22"/>
                <w:lang w:eastAsia="en-GB"/>
              </w:rPr>
              <w:t>9.979</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 xml:space="preserve">III - Poslovni rashodi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105.817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304.276</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lastRenderedPageBreak/>
              <w:t>IV - Realizovani gubitak od prodaje HOV</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3.882.675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0</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VI - Finansijski prihodi ( od kamata)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EC3D5E" w:rsidP="00205132">
            <w:pPr>
              <w:ind w:left="0" w:firstLine="0"/>
              <w:contextualSpacing/>
              <w:jc w:val="right"/>
              <w:rPr>
                <w:sz w:val="22"/>
                <w:szCs w:val="22"/>
              </w:rPr>
            </w:pPr>
            <w:r w:rsidRPr="00036A76">
              <w:rPr>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0</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036A76" w:rsidRDefault="00205132" w:rsidP="00205132">
            <w:pPr>
              <w:ind w:left="0" w:firstLine="0"/>
              <w:contextualSpacing/>
              <w:rPr>
                <w:bCs/>
                <w:sz w:val="22"/>
                <w:szCs w:val="22"/>
                <w:lang w:eastAsia="en-GB"/>
              </w:rPr>
            </w:pPr>
            <w:r w:rsidRPr="00036A76">
              <w:rPr>
                <w:bCs/>
                <w:sz w:val="22"/>
                <w:szCs w:val="22"/>
                <w:lang w:eastAsia="en-GB"/>
              </w:rPr>
              <w:t>REALIZOV.  DOB. I GUB. PRIJE  OPOREZIVANjA</w:t>
            </w:r>
          </w:p>
        </w:tc>
        <w:tc>
          <w:tcPr>
            <w:tcW w:w="1296" w:type="dxa"/>
            <w:tcBorders>
              <w:top w:val="nil"/>
              <w:left w:val="nil"/>
              <w:bottom w:val="single" w:sz="4" w:space="0" w:color="auto"/>
              <w:right w:val="single" w:sz="4" w:space="0" w:color="auto"/>
            </w:tcBorders>
            <w:shd w:val="clear" w:color="auto" w:fill="auto"/>
            <w:noWrap/>
            <w:vAlign w:val="bottom"/>
          </w:tcPr>
          <w:p w:rsidR="00205132" w:rsidRPr="00036A76" w:rsidRDefault="0018266D" w:rsidP="00205132">
            <w:pPr>
              <w:ind w:left="0" w:firstLine="0"/>
              <w:contextualSpacing/>
              <w:jc w:val="right"/>
              <w:rPr>
                <w:sz w:val="22"/>
                <w:szCs w:val="22"/>
              </w:rPr>
            </w:pPr>
            <w:r w:rsidRPr="00036A76">
              <w:rPr>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tcPr>
          <w:p w:rsidR="00205132" w:rsidRPr="00036A76" w:rsidRDefault="0018266D" w:rsidP="00205132">
            <w:pPr>
              <w:ind w:left="0" w:firstLine="0"/>
              <w:contextualSpacing/>
              <w:jc w:val="right"/>
              <w:rPr>
                <w:sz w:val="22"/>
                <w:szCs w:val="22"/>
              </w:rPr>
            </w:pPr>
            <w:r w:rsidRPr="00036A76">
              <w:rPr>
                <w:sz w:val="22"/>
                <w:szCs w:val="22"/>
              </w:rPr>
              <w:t>568.479</w:t>
            </w:r>
          </w:p>
        </w:tc>
      </w:tr>
      <w:tr w:rsidR="00205132" w:rsidRPr="00036A76" w:rsidTr="009C1D7C">
        <w:trPr>
          <w:gridAfter w:val="2"/>
          <w:wAfter w:w="1993" w:type="dxa"/>
          <w:trHeight w:val="34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REALIZOV.  DOB. I GUB. POSLIJE OPOREZIVANjA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3.333.936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036A76" w:rsidRDefault="00EC3D5E" w:rsidP="00205132">
            <w:pPr>
              <w:ind w:left="0" w:firstLine="0"/>
              <w:contextualSpacing/>
              <w:jc w:val="right"/>
              <w:rPr>
                <w:sz w:val="22"/>
                <w:szCs w:val="22"/>
              </w:rPr>
            </w:pPr>
            <w:r w:rsidRPr="00036A76">
              <w:rPr>
                <w:sz w:val="22"/>
                <w:szCs w:val="22"/>
              </w:rPr>
              <w:t>0</w:t>
            </w:r>
          </w:p>
        </w:tc>
      </w:tr>
      <w:tr w:rsidR="00205132" w:rsidRPr="00036A76" w:rsidTr="009C1D7C">
        <w:trPr>
          <w:gridAfter w:val="2"/>
          <w:wAfter w:w="1993" w:type="dxa"/>
          <w:trHeight w:val="300"/>
        </w:trPr>
        <w:tc>
          <w:tcPr>
            <w:tcW w:w="87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036A76" w:rsidRDefault="00205132" w:rsidP="00205132">
            <w:pPr>
              <w:ind w:left="0" w:firstLine="0"/>
              <w:contextualSpacing/>
              <w:rPr>
                <w:sz w:val="22"/>
                <w:szCs w:val="22"/>
                <w:lang w:eastAsia="en-GB"/>
              </w:rPr>
            </w:pPr>
            <w:r w:rsidRPr="00036A76">
              <w:rPr>
                <w:sz w:val="22"/>
                <w:szCs w:val="22"/>
                <w:lang w:eastAsia="en-GB"/>
              </w:rPr>
              <w:t>TOKOVI GOTOVINE</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UKUPAN PRILIV GOTOVINE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18266D">
            <w:pPr>
              <w:ind w:left="0" w:firstLine="0"/>
              <w:contextualSpacing/>
              <w:jc w:val="right"/>
              <w:rPr>
                <w:sz w:val="22"/>
                <w:szCs w:val="22"/>
              </w:rPr>
            </w:pPr>
            <w:r w:rsidRPr="00036A76">
              <w:rPr>
                <w:sz w:val="22"/>
                <w:szCs w:val="22"/>
              </w:rPr>
              <w:t>804.279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1.109.410</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UKUPAN ODLIV GOTOVINE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336.842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8266D" w:rsidP="00205132">
            <w:pPr>
              <w:ind w:left="0" w:firstLine="0"/>
              <w:contextualSpacing/>
              <w:jc w:val="right"/>
              <w:rPr>
                <w:sz w:val="22"/>
                <w:szCs w:val="22"/>
              </w:rPr>
            </w:pPr>
            <w:r w:rsidRPr="00036A76">
              <w:rPr>
                <w:sz w:val="22"/>
                <w:szCs w:val="22"/>
              </w:rPr>
              <w:t>692.409</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D.NETO PRILIV GOTOVINE (431-432)</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1519A9" w:rsidP="00205132">
            <w:pPr>
              <w:ind w:left="0" w:firstLine="0"/>
              <w:contextualSpacing/>
              <w:jc w:val="right"/>
              <w:rPr>
                <w:sz w:val="22"/>
                <w:szCs w:val="22"/>
              </w:rPr>
            </w:pPr>
            <w:r w:rsidRPr="00036A76">
              <w:rPr>
                <w:sz w:val="22"/>
                <w:szCs w:val="22"/>
              </w:rPr>
              <w:t>467.437</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1519A9" w:rsidP="00205132">
            <w:pPr>
              <w:ind w:left="0" w:firstLine="0"/>
              <w:contextualSpacing/>
              <w:jc w:val="right"/>
              <w:rPr>
                <w:sz w:val="22"/>
                <w:szCs w:val="22"/>
              </w:rPr>
            </w:pPr>
            <w:r w:rsidRPr="00036A76">
              <w:rPr>
                <w:sz w:val="22"/>
                <w:szCs w:val="22"/>
              </w:rPr>
              <w:t>417.001</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Đ.NETO ODLIV GOTOVINE (432-431)</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1519A9" w:rsidP="00205132">
            <w:pPr>
              <w:ind w:left="0" w:firstLine="0"/>
              <w:contextualSpacing/>
              <w:jc w:val="right"/>
              <w:rPr>
                <w:sz w:val="22"/>
                <w:szCs w:val="22"/>
              </w:rPr>
            </w:pPr>
            <w:r w:rsidRPr="00036A76">
              <w:rPr>
                <w:sz w:val="22"/>
                <w:szCs w:val="22"/>
              </w:rPr>
              <w:t>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1519A9" w:rsidP="001519A9">
            <w:pPr>
              <w:ind w:left="0" w:firstLine="0"/>
              <w:contextualSpacing/>
              <w:jc w:val="right"/>
              <w:rPr>
                <w:sz w:val="22"/>
                <w:szCs w:val="22"/>
              </w:rPr>
            </w:pPr>
            <w:r w:rsidRPr="00036A76">
              <w:rPr>
                <w:sz w:val="22"/>
                <w:szCs w:val="22"/>
              </w:rPr>
              <w:t>0</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E. Gotovina na početku perioda</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1519A9" w:rsidP="00205132">
            <w:pPr>
              <w:ind w:left="0" w:firstLine="0"/>
              <w:contextualSpacing/>
              <w:jc w:val="right"/>
              <w:rPr>
                <w:sz w:val="22"/>
                <w:szCs w:val="22"/>
              </w:rPr>
            </w:pPr>
            <w:r w:rsidRPr="00036A76">
              <w:rPr>
                <w:sz w:val="22"/>
                <w:szCs w:val="22"/>
              </w:rPr>
              <w:t>510.154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1519A9" w:rsidP="00205132">
            <w:pPr>
              <w:ind w:left="0" w:firstLine="0"/>
              <w:contextualSpacing/>
              <w:jc w:val="right"/>
              <w:rPr>
                <w:sz w:val="22"/>
                <w:szCs w:val="22"/>
              </w:rPr>
            </w:pPr>
            <w:r w:rsidRPr="00036A76">
              <w:rPr>
                <w:sz w:val="22"/>
                <w:szCs w:val="22"/>
              </w:rPr>
              <w:t>329.776</w:t>
            </w:r>
          </w:p>
        </w:tc>
      </w:tr>
      <w:tr w:rsidR="00205132" w:rsidRPr="00036A76"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205132" w:rsidP="00205132">
            <w:pPr>
              <w:ind w:left="0" w:firstLine="0"/>
              <w:contextualSpacing/>
              <w:rPr>
                <w:bCs/>
                <w:sz w:val="22"/>
                <w:szCs w:val="22"/>
                <w:lang w:eastAsia="en-GB"/>
              </w:rPr>
            </w:pPr>
            <w:r w:rsidRPr="00036A76">
              <w:rPr>
                <w:bCs/>
                <w:sz w:val="22"/>
                <w:szCs w:val="22"/>
                <w:lang w:eastAsia="en-GB"/>
              </w:rPr>
              <w:t>I. GOTOVINA NA KRAJU OBRAČUNSKOG PERIODA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036A76" w:rsidRDefault="001519A9" w:rsidP="001519A9">
            <w:pPr>
              <w:ind w:left="0" w:firstLine="0"/>
              <w:contextualSpacing/>
              <w:jc w:val="right"/>
              <w:rPr>
                <w:sz w:val="22"/>
                <w:szCs w:val="22"/>
              </w:rPr>
            </w:pPr>
            <w:r w:rsidRPr="00036A76">
              <w:rPr>
                <w:sz w:val="22"/>
                <w:szCs w:val="22"/>
              </w:rPr>
              <w:t>977.591</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036A76" w:rsidRDefault="001519A9" w:rsidP="00205132">
            <w:pPr>
              <w:ind w:left="0" w:firstLine="0"/>
              <w:contextualSpacing/>
              <w:jc w:val="right"/>
              <w:rPr>
                <w:sz w:val="22"/>
                <w:szCs w:val="22"/>
              </w:rPr>
            </w:pPr>
            <w:r w:rsidRPr="00036A76">
              <w:rPr>
                <w:sz w:val="22"/>
                <w:szCs w:val="22"/>
              </w:rPr>
              <w:t>746.777</w:t>
            </w:r>
          </w:p>
        </w:tc>
      </w:tr>
    </w:tbl>
    <w:p w:rsidR="00205132" w:rsidRPr="00036A76" w:rsidRDefault="00205132" w:rsidP="00205132">
      <w:pPr>
        <w:pStyle w:val="Heading3"/>
        <w:spacing w:before="0" w:after="0"/>
        <w:contextualSpacing/>
        <w:jc w:val="both"/>
        <w:rPr>
          <w:rFonts w:ascii="Times New Roman" w:hAnsi="Times New Roman"/>
        </w:rPr>
      </w:pPr>
    </w:p>
    <w:p w:rsidR="00205132" w:rsidRPr="00036A76" w:rsidRDefault="006759A7" w:rsidP="006759A7">
      <w:pPr>
        <w:pStyle w:val="ListParagraph"/>
        <w:numPr>
          <w:ilvl w:val="0"/>
          <w:numId w:val="8"/>
        </w:numPr>
        <w:rPr>
          <w:b/>
          <w:sz w:val="26"/>
          <w:szCs w:val="26"/>
        </w:rPr>
      </w:pPr>
      <w:r w:rsidRPr="00036A76">
        <w:rPr>
          <w:b/>
          <w:sz w:val="26"/>
          <w:szCs w:val="26"/>
        </w:rPr>
        <w:t>RIZICI FONDA</w:t>
      </w:r>
    </w:p>
    <w:p w:rsidR="009F3DD3" w:rsidRPr="00036A76" w:rsidRDefault="009F3DD3" w:rsidP="009F3DD3">
      <w:pPr>
        <w:pStyle w:val="BodyText"/>
        <w:contextualSpacing/>
      </w:pPr>
      <w:r w:rsidRPr="00036A76">
        <w:t>Rizici vezani za ulaganje Fonda predstavljaju povećan stepen vjerovatnoće da se planirani prinosi za Fond ne ostvare, ili da Fond pretrpi štetu od ulaganja u novu imovinu, za slučaj da Društvo za upravljanje Fondom ne izvrši pravilnu procjenu i vrednovanje rizika, i da blagovremeno ne preduzme mjere za smanjenje rizika ulaganja u određenu vrstu imovine Fonda.</w:t>
      </w:r>
    </w:p>
    <w:p w:rsidR="009F3DD3" w:rsidRPr="00036A76" w:rsidRDefault="009F3DD3" w:rsidP="009F3DD3">
      <w:pPr>
        <w:pStyle w:val="BodyText"/>
        <w:contextualSpacing/>
      </w:pPr>
      <w:r w:rsidRPr="00036A76">
        <w:t>Investiciona politika Fonda se sprovodi procjenama rizika koji mogu dovesti do smanjenja vrijednosti njegove imovine, ili do smanjenja planiranih ili očekivanih prinosa za investitore Fonda.</w:t>
      </w:r>
    </w:p>
    <w:p w:rsidR="009F3DD3" w:rsidRPr="00036A76" w:rsidRDefault="009F3DD3" w:rsidP="009F3DD3">
      <w:pPr>
        <w:pStyle w:val="BodyText"/>
        <w:contextualSpacing/>
        <w:rPr>
          <w:lang w:val="sr-Latn-BA"/>
        </w:rPr>
      </w:pPr>
      <w:r w:rsidRPr="00036A76">
        <w:t>Rizici Fonda se svode na najmanju mjeru imajući u vidu činjenicu da je imovina u Fondu najvećim dijelom nelikvidna, i da Fond u budućnosti ne namjerava da investira u novu imovinu.</w:t>
      </w:r>
    </w:p>
    <w:p w:rsidR="009F3DD3" w:rsidRPr="00036A76" w:rsidRDefault="009F3DD3" w:rsidP="009F3DD3">
      <w:pPr>
        <w:pStyle w:val="BodyText"/>
        <w:contextualSpacing/>
        <w:rPr>
          <w:lang w:val="sr-Latn-BA"/>
        </w:rPr>
      </w:pPr>
    </w:p>
    <w:p w:rsidR="009F3DD3" w:rsidRPr="00036A76" w:rsidRDefault="009F3DD3" w:rsidP="009F3DD3">
      <w:pPr>
        <w:pStyle w:val="BodyText"/>
        <w:contextualSpacing/>
      </w:pPr>
      <w:r w:rsidRPr="00036A76">
        <w:t>Smanjenjem likvidnosti Fonda će se nužno smanjiti rizici, obzirom na činjenicu da će u portfelju Fonda nakon izdvajanja likvidnog dijela imovine u otvoreni investicioni Fond sa javnom ponudom, ostati najveći broj nelikvidnih ulaganja u hartije od vrijednosti emitenata nad kojima je pokrenut postupak stečaja, emitenata čijim hartijama od vrijednosti se ne trguje na berzama ili na drugim uredjenim javnim tržištima i emitenata koji su prestali sa obavljanjem privrednih aktivnosti.</w:t>
      </w:r>
    </w:p>
    <w:p w:rsidR="009F3DD3" w:rsidRPr="00036A76" w:rsidRDefault="009F3DD3" w:rsidP="009F3DD3">
      <w:pPr>
        <w:pStyle w:val="BodyText"/>
        <w:contextualSpacing/>
      </w:pPr>
      <w:r w:rsidRPr="00036A76">
        <w:t>Društvo za upravljanje će u najkraćem roku likvidirati ovaj Fond, tako da će se investicione aktivnosti Fonda u potpunosti zaustaviti, a kada Fond dodje u stanje nelikvidnosti i nemogućnosti izmirivanja dospjelih obaveza, Društvo za upravljanje će nad Fondom otvoriti postupak likvidacije.</w:t>
      </w:r>
    </w:p>
    <w:p w:rsidR="009F3DD3" w:rsidRPr="00036A76" w:rsidRDefault="009F3DD3" w:rsidP="009F3DD3">
      <w:pPr>
        <w:pStyle w:val="BodyText"/>
        <w:contextualSpacing/>
      </w:pPr>
      <w:r w:rsidRPr="00036A76">
        <w:t xml:space="preserve">       Od velikog broja rizika kojima Fond može biti izložen kao potencijalni rizici za Fond u ovom periodu ostaju:</w:t>
      </w:r>
    </w:p>
    <w:p w:rsidR="009F3DD3" w:rsidRPr="00036A76" w:rsidRDefault="009F3DD3" w:rsidP="009F3DD3">
      <w:pPr>
        <w:pStyle w:val="BodyText"/>
        <w:numPr>
          <w:ilvl w:val="0"/>
          <w:numId w:val="9"/>
        </w:numPr>
        <w:contextualSpacing/>
        <w:rPr>
          <w:b/>
        </w:rPr>
      </w:pPr>
      <w:r w:rsidRPr="00036A76">
        <w:rPr>
          <w:b/>
        </w:rPr>
        <w:t xml:space="preserve">Rizik likvidnosti </w:t>
      </w:r>
    </w:p>
    <w:p w:rsidR="009F3DD3" w:rsidRPr="00036A76" w:rsidRDefault="009F3DD3" w:rsidP="009F3DD3">
      <w:pPr>
        <w:pStyle w:val="BodyText"/>
        <w:contextualSpacing/>
      </w:pPr>
      <w:r w:rsidRPr="00036A76">
        <w:t xml:space="preserve">Rizik likvidnosti predstavlja rizik da se imovina koja ostane u Fondu, nakon završetka postupka djelimičnog preoblikovanja Fonda, neće moći prodati i unovčiti u kratkom periodu, i po cijenama koje bi trebale biti približno jednake fer cijenama, što može dovesti do nemogućnosti Fonda da izmiruje tekuće obaveze i da dodje u stanje privremene ili trajne nelikvidnosti. </w:t>
      </w:r>
    </w:p>
    <w:p w:rsidR="009F3DD3" w:rsidRPr="00036A76" w:rsidRDefault="009F3DD3" w:rsidP="009F3DD3">
      <w:pPr>
        <w:pStyle w:val="BodyText"/>
        <w:numPr>
          <w:ilvl w:val="0"/>
          <w:numId w:val="9"/>
        </w:numPr>
        <w:contextualSpacing/>
        <w:rPr>
          <w:b/>
        </w:rPr>
      </w:pPr>
      <w:r w:rsidRPr="00036A76">
        <w:rPr>
          <w:b/>
        </w:rPr>
        <w:t xml:space="preserve">Zakonski izik </w:t>
      </w:r>
    </w:p>
    <w:p w:rsidR="009F3DD3" w:rsidRPr="00036A76" w:rsidRDefault="009F3DD3" w:rsidP="009F3DD3">
      <w:pPr>
        <w:pStyle w:val="BodyText"/>
        <w:contextualSpacing/>
      </w:pPr>
      <w:r w:rsidRPr="00036A76">
        <w:t>Ovaj rizik predstavlja rizik nastanka gubitaka za Fond primjenom novih Zakona, koji su nepovoljniji za Fond, u odnosu na prethodne Zakone.</w:t>
      </w:r>
    </w:p>
    <w:p w:rsidR="009F3DD3" w:rsidRPr="00036A76" w:rsidRDefault="009F3DD3" w:rsidP="009F3DD3">
      <w:pPr>
        <w:pStyle w:val="BodyText"/>
        <w:contextualSpacing/>
      </w:pPr>
      <w:r w:rsidRPr="00036A76">
        <w:t>Kod ovoga rizika postoji i dodatna opasnost tumačenja donosilaca Zakona i njegove primjene od strane domaćih Sudova, koje mogu negativno uticati na poslovanje Fonda,</w:t>
      </w:r>
    </w:p>
    <w:p w:rsidR="009F3DD3" w:rsidRPr="00036A76" w:rsidRDefault="009F3DD3" w:rsidP="009F3DD3">
      <w:pPr>
        <w:pStyle w:val="BodyText"/>
        <w:numPr>
          <w:ilvl w:val="0"/>
          <w:numId w:val="9"/>
        </w:numPr>
        <w:contextualSpacing/>
        <w:rPr>
          <w:b/>
        </w:rPr>
      </w:pPr>
      <w:r w:rsidRPr="00036A76">
        <w:rPr>
          <w:b/>
        </w:rPr>
        <w:lastRenderedPageBreak/>
        <w:t>Politički i regulatorni rizik</w:t>
      </w:r>
    </w:p>
    <w:p w:rsidR="009F3DD3" w:rsidRPr="00036A76" w:rsidRDefault="009F3DD3" w:rsidP="009F3DD3">
      <w:pPr>
        <w:pStyle w:val="BodyText"/>
        <w:contextualSpacing/>
      </w:pPr>
      <w:r w:rsidRPr="00036A76">
        <w:t>Ovaj rizik se manifestuje kroz negativan uticaj političke nestabilnosti države BiH i entiteta Republika Srpska u kojima Fond ima ulaganja, obzirom da Fond skoro sva svoja ulaganja ima na domaćim tržištima, tako da političke promjene mogu dovesti do promjene vladine politike, ili do promjene Zakona koji regulišu ulaganja na domaćem finansijskom tržištu, što za posledicu može imati promjenu domaćih poreskih Zakona, promjenu vrijednosti domaće valute, ograničenje stranih investicija i druge negativne posledice za investitore.</w:t>
      </w:r>
    </w:p>
    <w:p w:rsidR="009F3DD3" w:rsidRPr="00036A76" w:rsidRDefault="009F3DD3" w:rsidP="009F3DD3">
      <w:pPr>
        <w:pStyle w:val="BodyText"/>
        <w:contextualSpacing/>
      </w:pPr>
      <w:r w:rsidRPr="00036A76">
        <w:t>Imajući u vidu strukturu portfelja Fonda, u kome su domanantne nelikvidne hartije od vrijednosti, cijenimo da Fond neće biti izložen ostalim rizicima, i da drugi rizici ne mogu uticati na njegovo poslovanje.</w:t>
      </w:r>
    </w:p>
    <w:p w:rsidR="00C50122" w:rsidRPr="00036A76" w:rsidRDefault="009F3DD3" w:rsidP="00751770">
      <w:pPr>
        <w:pStyle w:val="BodyText"/>
        <w:contextualSpacing/>
        <w:rPr>
          <w:lang w:val="sr-Latn-BA"/>
        </w:rPr>
      </w:pPr>
      <w:r w:rsidRPr="00036A76">
        <w:t xml:space="preserve">Navedeni rizici, ako se dese mogu ubrzati postupak likvidacije Fonda, pošto će jedan od ovih rizika, ili svi zajedno dovesti do djelimične ili potpune nemogućnosti izmirenja obaveza Fonda, i do nužnosti otvaranja postupka likvidacije Fonda.             </w:t>
      </w:r>
    </w:p>
    <w:p w:rsidR="00205132" w:rsidRPr="00036A76" w:rsidRDefault="00205132" w:rsidP="00205132">
      <w:pPr>
        <w:pStyle w:val="Heading1"/>
        <w:contextualSpacing/>
        <w:jc w:val="both"/>
        <w:rPr>
          <w:rFonts w:ascii="Times New Roman" w:hAnsi="Times New Roman"/>
          <w:bCs w:val="0"/>
          <w:sz w:val="24"/>
        </w:rPr>
      </w:pPr>
    </w:p>
    <w:p w:rsidR="00C36F62" w:rsidRPr="00036A76" w:rsidRDefault="00F94DFD" w:rsidP="00F553CF">
      <w:pPr>
        <w:pStyle w:val="ListParagraph"/>
        <w:numPr>
          <w:ilvl w:val="0"/>
          <w:numId w:val="8"/>
        </w:numPr>
        <w:rPr>
          <w:b/>
          <w:lang w:val="sr-Latn-BA"/>
        </w:rPr>
      </w:pPr>
      <w:r w:rsidRPr="00036A76">
        <w:rPr>
          <w:b/>
          <w:lang w:val="sr-Latn-BA"/>
        </w:rPr>
        <w:t>INFORMACIJE</w:t>
      </w:r>
      <w:r w:rsidR="000B687A" w:rsidRPr="00036A76">
        <w:rPr>
          <w:b/>
          <w:lang w:val="sr-Latn-BA"/>
        </w:rPr>
        <w:t xml:space="preserve"> O FONDU</w:t>
      </w:r>
    </w:p>
    <w:p w:rsidR="000B687A" w:rsidRPr="00036A76" w:rsidRDefault="00205132" w:rsidP="00F553CF">
      <w:pPr>
        <w:pStyle w:val="ListParagraph"/>
        <w:numPr>
          <w:ilvl w:val="1"/>
          <w:numId w:val="8"/>
        </w:numPr>
        <w:ind w:left="1080" w:hanging="720"/>
        <w:jc w:val="left"/>
      </w:pPr>
      <w:r w:rsidRPr="00036A76">
        <w:t>Osnovni podaci i razvoj emitenta:</w:t>
      </w:r>
    </w:p>
    <w:p w:rsidR="00205132" w:rsidRPr="00036A76" w:rsidRDefault="00205132" w:rsidP="00E37E92">
      <w:pPr>
        <w:ind w:left="0" w:firstLine="0"/>
      </w:pPr>
      <w:r w:rsidRPr="00036A76">
        <w:t>Fond spada u vrstu zatvorenih i</w:t>
      </w:r>
      <w:r w:rsidR="00A93C6C" w:rsidRPr="00036A76">
        <w:t>nvesticionih F</w:t>
      </w:r>
      <w:r w:rsidRPr="00036A76">
        <w:t xml:space="preserve">ondova sa javnom ponudom </w:t>
      </w:r>
      <w:r w:rsidR="00473C13" w:rsidRPr="00036A76">
        <w:t xml:space="preserve">u preoblikovanju </w:t>
      </w:r>
      <w:r w:rsidRPr="00036A76">
        <w:t>čije je poslovanje i druga pitanja od značaja za rad regulisana Zakonom o investicionim fondov</w:t>
      </w:r>
      <w:r w:rsidR="000B687A" w:rsidRPr="00036A76">
        <w:t>ima</w:t>
      </w:r>
      <w:r w:rsidRPr="00036A76">
        <w:t>, te drugim zakonskim i podzakonskim propisima.</w:t>
      </w:r>
    </w:p>
    <w:p w:rsidR="00CE097B" w:rsidRPr="00036A76" w:rsidRDefault="006F4237" w:rsidP="00CE097B">
      <w:pPr>
        <w:autoSpaceDE w:val="0"/>
        <w:autoSpaceDN w:val="0"/>
        <w:adjustRightInd w:val="0"/>
        <w:ind w:left="0" w:firstLine="0"/>
        <w:contextualSpacing/>
      </w:pPr>
      <w:r w:rsidRPr="00036A76">
        <w:rPr>
          <w:lang w:val="sl-SI"/>
        </w:rPr>
        <w:t>Podvrsta F</w:t>
      </w:r>
      <w:r w:rsidR="001669EB" w:rsidRPr="00036A76">
        <w:rPr>
          <w:lang w:val="sl-SI"/>
        </w:rPr>
        <w:t xml:space="preserve">onda: </w:t>
      </w:r>
      <w:r w:rsidR="00A93C6C" w:rsidRPr="00036A76">
        <w:t>mješoviti F</w:t>
      </w:r>
      <w:r w:rsidR="00CE097B" w:rsidRPr="00036A76">
        <w:t>ond koji ima uložena sredstva u različi</w:t>
      </w:r>
      <w:r w:rsidR="00734B9B" w:rsidRPr="00036A76">
        <w:t xml:space="preserve">te vrste hartija od vrijednosti i u </w:t>
      </w:r>
      <w:r w:rsidR="00CE097B" w:rsidRPr="00036A76">
        <w:t>novčane depozite.</w:t>
      </w:r>
    </w:p>
    <w:p w:rsidR="000B687A" w:rsidRPr="00036A76" w:rsidRDefault="000B687A" w:rsidP="000B687A">
      <w:pPr>
        <w:pStyle w:val="BodyTextIndent"/>
        <w:ind w:left="0" w:firstLine="0"/>
        <w:rPr>
          <w:lang w:val="sr-Latn-BA"/>
        </w:rPr>
      </w:pPr>
    </w:p>
    <w:p w:rsidR="00E37E92" w:rsidRPr="00036A76" w:rsidRDefault="000B687A" w:rsidP="00F553CF">
      <w:pPr>
        <w:pStyle w:val="BodyTextIndent"/>
        <w:numPr>
          <w:ilvl w:val="2"/>
          <w:numId w:val="8"/>
        </w:numPr>
        <w:rPr>
          <w:szCs w:val="24"/>
          <w:lang w:val="sr-Latn-BA"/>
        </w:rPr>
      </w:pPr>
      <w:r w:rsidRPr="00036A76">
        <w:t xml:space="preserve">Poslovno ime: </w:t>
      </w:r>
    </w:p>
    <w:p w:rsidR="000B687A" w:rsidRPr="00036A76" w:rsidRDefault="000B687A" w:rsidP="009653FA">
      <w:pPr>
        <w:pStyle w:val="BodyTextIndent"/>
        <w:ind w:left="0" w:firstLine="0"/>
        <w:contextualSpacing/>
        <w:rPr>
          <w:szCs w:val="24"/>
          <w:lang w:val="sr-Latn-BA"/>
        </w:rPr>
      </w:pPr>
      <w:r w:rsidRPr="00036A76">
        <w:rPr>
          <w:szCs w:val="24"/>
          <w:lang w:val="sl-SI"/>
        </w:rPr>
        <w:t>Zatvoreni</w:t>
      </w:r>
      <w:r w:rsidR="001669EB" w:rsidRPr="00036A76">
        <w:rPr>
          <w:szCs w:val="24"/>
          <w:lang w:val="sl-SI"/>
        </w:rPr>
        <w:t xml:space="preserve"> </w:t>
      </w:r>
      <w:r w:rsidR="00CE097B" w:rsidRPr="00036A76">
        <w:rPr>
          <w:szCs w:val="24"/>
          <w:lang w:val="sl-SI"/>
        </w:rPr>
        <w:t>mješoviti</w:t>
      </w:r>
      <w:r w:rsidRPr="00036A76">
        <w:rPr>
          <w:szCs w:val="24"/>
          <w:lang w:val="sl-SI"/>
        </w:rPr>
        <w:t xml:space="preserve"> investicioni fond</w:t>
      </w:r>
      <w:r w:rsidRPr="00036A76">
        <w:rPr>
          <w:szCs w:val="24"/>
        </w:rPr>
        <w:t xml:space="preserve"> </w:t>
      </w:r>
      <w:r w:rsidRPr="00036A76">
        <w:rPr>
          <w:szCs w:val="24"/>
          <w:lang w:val="sl-SI"/>
        </w:rPr>
        <w:t>sa javnom ponudom</w:t>
      </w:r>
      <w:r w:rsidR="009653FA" w:rsidRPr="00036A76">
        <w:rPr>
          <w:szCs w:val="24"/>
          <w:lang w:val="sl-SI"/>
        </w:rPr>
        <w:t xml:space="preserve"> u preoblikovanju »Invest nova fond« </w:t>
      </w:r>
      <w:r w:rsidRPr="00036A76">
        <w:rPr>
          <w:szCs w:val="24"/>
        </w:rPr>
        <w:t>а.</w:t>
      </w:r>
      <w:r w:rsidRPr="00036A76">
        <w:rPr>
          <w:szCs w:val="24"/>
          <w:lang w:val="sl-SI"/>
        </w:rPr>
        <w:t>d</w:t>
      </w:r>
      <w:r w:rsidRPr="00036A76">
        <w:rPr>
          <w:szCs w:val="24"/>
        </w:rPr>
        <w:t>.</w:t>
      </w:r>
      <w:r w:rsidRPr="00036A76">
        <w:rPr>
          <w:szCs w:val="24"/>
          <w:lang w:val="sr-Latn-BA"/>
        </w:rPr>
        <w:t xml:space="preserve"> </w:t>
      </w:r>
      <w:r w:rsidRPr="00036A76">
        <w:rPr>
          <w:szCs w:val="24"/>
          <w:lang w:val="sl-SI"/>
        </w:rPr>
        <w:t>Bijeljina</w:t>
      </w:r>
      <w:r w:rsidRPr="00036A76">
        <w:rPr>
          <w:szCs w:val="24"/>
        </w:rPr>
        <w:t>,</w:t>
      </w:r>
    </w:p>
    <w:p w:rsidR="000B687A" w:rsidRPr="00036A76" w:rsidRDefault="000B687A" w:rsidP="000B687A">
      <w:pPr>
        <w:pStyle w:val="BodyTextIndent"/>
        <w:ind w:left="0" w:firstLine="0"/>
        <w:rPr>
          <w:szCs w:val="24"/>
          <w:lang w:val="sr-Latn-BA"/>
        </w:rPr>
      </w:pPr>
      <w:r w:rsidRPr="00036A76">
        <w:rPr>
          <w:szCs w:val="24"/>
          <w:lang w:val="sl-SI"/>
        </w:rPr>
        <w:t>Skraćeni naziv Fonda glasi</w:t>
      </w:r>
      <w:r w:rsidRPr="00036A76">
        <w:rPr>
          <w:szCs w:val="24"/>
        </w:rPr>
        <w:t xml:space="preserve">: </w:t>
      </w:r>
      <w:r w:rsidRPr="00036A76">
        <w:rPr>
          <w:szCs w:val="24"/>
          <w:lang w:val="sl-SI"/>
        </w:rPr>
        <w:t>Z</w:t>
      </w:r>
      <w:r w:rsidR="00CE097B" w:rsidRPr="00036A76">
        <w:rPr>
          <w:szCs w:val="24"/>
          <w:lang w:val="sl-SI"/>
        </w:rPr>
        <w:t>M</w:t>
      </w:r>
      <w:r w:rsidRPr="00036A76">
        <w:rPr>
          <w:szCs w:val="24"/>
          <w:lang w:val="sl-SI"/>
        </w:rPr>
        <w:t>IF</w:t>
      </w:r>
      <w:r w:rsidR="009653FA" w:rsidRPr="00036A76">
        <w:rPr>
          <w:szCs w:val="24"/>
          <w:lang w:val="sl-SI"/>
        </w:rPr>
        <w:t xml:space="preserve"> u preoblikovanju</w:t>
      </w:r>
      <w:r w:rsidRPr="00036A76">
        <w:rPr>
          <w:szCs w:val="24"/>
        </w:rPr>
        <w:t xml:space="preserve"> </w:t>
      </w:r>
      <w:r w:rsidRPr="00036A76">
        <w:rPr>
          <w:szCs w:val="24"/>
          <w:lang w:val="sl-SI"/>
        </w:rPr>
        <w:t xml:space="preserve">»Invest nova fond« </w:t>
      </w:r>
      <w:r w:rsidRPr="00036A76">
        <w:rPr>
          <w:szCs w:val="24"/>
        </w:rPr>
        <w:t>а.</w:t>
      </w:r>
      <w:r w:rsidRPr="00036A76">
        <w:rPr>
          <w:szCs w:val="24"/>
          <w:lang w:val="sl-SI"/>
        </w:rPr>
        <w:t>d.</w:t>
      </w:r>
      <w:r w:rsidRPr="00036A76">
        <w:rPr>
          <w:szCs w:val="24"/>
        </w:rPr>
        <w:t xml:space="preserve"> </w:t>
      </w:r>
      <w:r w:rsidRPr="00036A76">
        <w:rPr>
          <w:szCs w:val="24"/>
          <w:lang w:val="sl-SI"/>
        </w:rPr>
        <w:t>Bijeljina</w:t>
      </w:r>
      <w:r w:rsidRPr="00036A76">
        <w:rPr>
          <w:szCs w:val="24"/>
        </w:rPr>
        <w:t xml:space="preserve"> (</w:t>
      </w:r>
      <w:r w:rsidRPr="00036A76">
        <w:rPr>
          <w:szCs w:val="24"/>
          <w:lang w:val="sl-SI"/>
        </w:rPr>
        <w:t>u daljem tekstu Fond</w:t>
      </w:r>
      <w:r w:rsidRPr="00036A76">
        <w:rPr>
          <w:szCs w:val="24"/>
        </w:rPr>
        <w:t xml:space="preserve">). </w:t>
      </w:r>
    </w:p>
    <w:p w:rsidR="00E37E92" w:rsidRPr="00036A76" w:rsidRDefault="00E37E92" w:rsidP="000B687A">
      <w:pPr>
        <w:pStyle w:val="BodyTextIndent"/>
        <w:ind w:left="0" w:firstLine="0"/>
        <w:rPr>
          <w:szCs w:val="24"/>
          <w:lang w:val="sr-Latn-BA"/>
        </w:rPr>
      </w:pPr>
    </w:p>
    <w:p w:rsidR="000B687A" w:rsidRPr="00036A76" w:rsidRDefault="000B687A" w:rsidP="00F553CF">
      <w:pPr>
        <w:pStyle w:val="ListParagraph"/>
        <w:numPr>
          <w:ilvl w:val="2"/>
          <w:numId w:val="8"/>
        </w:numPr>
      </w:pPr>
      <w:r w:rsidRPr="00036A76">
        <w:t>Sjedište, matični broj, broj registracije:</w:t>
      </w:r>
    </w:p>
    <w:p w:rsidR="00AF293E" w:rsidRPr="00036A76" w:rsidRDefault="00AF293E" w:rsidP="00AF293E">
      <w:pPr>
        <w:ind w:left="0" w:firstLine="0"/>
      </w:pPr>
      <w:r w:rsidRPr="00036A76">
        <w:t>Sjedište Fonda: 76300 Bijeljina, Gavrila Principa 11, Republika Srpska, Bosna i Hercegovina</w:t>
      </w:r>
    </w:p>
    <w:p w:rsidR="00AF293E" w:rsidRPr="00036A76" w:rsidRDefault="00AF293E" w:rsidP="00AF293E">
      <w:pPr>
        <w:ind w:left="0" w:firstLine="0"/>
      </w:pPr>
      <w:r w:rsidRPr="00036A76">
        <w:t xml:space="preserve">Matični broj: 01956973 </w:t>
      </w:r>
    </w:p>
    <w:p w:rsidR="00AF293E" w:rsidRPr="00036A76" w:rsidRDefault="00AF293E" w:rsidP="00AF293E">
      <w:pPr>
        <w:ind w:left="0" w:firstLine="0"/>
      </w:pPr>
      <w:r w:rsidRPr="00036A76">
        <w:t>Poreski broj: 4400352650008</w:t>
      </w:r>
    </w:p>
    <w:p w:rsidR="000D3F7B" w:rsidRPr="00036A76" w:rsidRDefault="00AF293E" w:rsidP="00AF293E">
      <w:pPr>
        <w:ind w:left="0" w:firstLine="0"/>
      </w:pPr>
      <w:r w:rsidRPr="00036A76">
        <w:t>Registracioni sud: O</w:t>
      </w:r>
      <w:r w:rsidR="00541882" w:rsidRPr="00036A76">
        <w:t>kružni privredni</w:t>
      </w:r>
      <w:r w:rsidRPr="00036A76">
        <w:t xml:space="preserve"> sud u Bijeljini</w:t>
      </w:r>
      <w:r w:rsidR="000D3F7B" w:rsidRPr="00036A76">
        <w:t xml:space="preserve">, broj rješenja o upisu u sudski registar: </w:t>
      </w:r>
    </w:p>
    <w:p w:rsidR="00AF293E" w:rsidRPr="00036A76" w:rsidRDefault="000D3F7B" w:rsidP="00AF293E">
      <w:pPr>
        <w:ind w:left="0" w:firstLine="0"/>
      </w:pPr>
      <w:r w:rsidRPr="00036A76">
        <w:t>059-0-Reg-11-000 488 od 07.09.2011. godine, broj registarskog uloška 1-5399.</w:t>
      </w:r>
    </w:p>
    <w:p w:rsidR="000B687A" w:rsidRPr="00036A76" w:rsidRDefault="000B687A" w:rsidP="00AF293E">
      <w:pPr>
        <w:ind w:left="0" w:firstLine="0"/>
      </w:pPr>
    </w:p>
    <w:p w:rsidR="004F35A1" w:rsidRPr="00036A76" w:rsidRDefault="000B687A" w:rsidP="00F553CF">
      <w:pPr>
        <w:pStyle w:val="ListParagraph"/>
        <w:numPr>
          <w:ilvl w:val="2"/>
          <w:numId w:val="8"/>
        </w:numPr>
      </w:pPr>
      <w:r w:rsidRPr="00036A76">
        <w:t>Pravna forma emitenta, adresa, broj telefona i e-mail adresa:</w:t>
      </w:r>
    </w:p>
    <w:p w:rsidR="000B687A" w:rsidRPr="00036A76" w:rsidRDefault="001669EB" w:rsidP="000B687A">
      <w:pPr>
        <w:ind w:left="0" w:firstLine="0"/>
        <w:contextualSpacing/>
      </w:pPr>
      <w:r w:rsidRPr="00036A76">
        <w:t xml:space="preserve">Fond </w:t>
      </w:r>
      <w:r w:rsidR="000B687A" w:rsidRPr="00036A76">
        <w:t>je organizovan kao otvoreno akcionarsko društvo u skladu sa Zakonom o privrednim društvima.</w:t>
      </w:r>
    </w:p>
    <w:p w:rsidR="00087D42" w:rsidRPr="00036A76" w:rsidRDefault="00087D42" w:rsidP="00087D42">
      <w:pPr>
        <w:pStyle w:val="BodyText"/>
        <w:rPr>
          <w:szCs w:val="24"/>
          <w:lang w:val="sr-Latn-BA"/>
        </w:rPr>
      </w:pPr>
      <w:r w:rsidRPr="00036A76">
        <w:rPr>
          <w:szCs w:val="24"/>
        </w:rPr>
        <w:t xml:space="preserve">Vrijeme trajanja Fonda je neograničeno, tj. Fond je osnovan na neodređeno vrijeme i može prestati samo u slučajevima i na način predviđen Zakonom o investicionim fondovima i </w:t>
      </w:r>
      <w:r w:rsidRPr="00036A76">
        <w:rPr>
          <w:szCs w:val="24"/>
          <w:lang w:val="sr-Latn-BA"/>
        </w:rPr>
        <w:t>Zakonom o privrednim društvima.</w:t>
      </w:r>
    </w:p>
    <w:p w:rsidR="000B687A" w:rsidRPr="00036A76" w:rsidRDefault="000B687A" w:rsidP="0035167D">
      <w:pPr>
        <w:ind w:left="0" w:firstLine="0"/>
        <w:contextualSpacing/>
        <w:rPr>
          <w:color w:val="76923C"/>
        </w:rPr>
      </w:pPr>
      <w:r w:rsidRPr="00036A76">
        <w:t>Tel/faks – 055/206-021, 055/208-131</w:t>
      </w:r>
    </w:p>
    <w:p w:rsidR="000B687A" w:rsidRPr="00036A76" w:rsidRDefault="000B687A" w:rsidP="0035167D">
      <w:pPr>
        <w:ind w:left="0" w:firstLine="0"/>
        <w:contextualSpacing/>
      </w:pPr>
      <w:r w:rsidRPr="00036A76">
        <w:t xml:space="preserve">E-mail: </w:t>
      </w:r>
      <w:hyperlink r:id="rId8" w:history="1">
        <w:r w:rsidRPr="00036A76">
          <w:rPr>
            <w:rStyle w:val="Hyperlink"/>
          </w:rPr>
          <w:t>office@investnova.info</w:t>
        </w:r>
      </w:hyperlink>
    </w:p>
    <w:p w:rsidR="00E37E92" w:rsidRPr="00036A76" w:rsidRDefault="00E37E92" w:rsidP="0035167D">
      <w:pPr>
        <w:ind w:left="0" w:firstLine="0"/>
        <w:contextualSpacing/>
      </w:pPr>
    </w:p>
    <w:p w:rsidR="001C4120" w:rsidRPr="00036A76" w:rsidRDefault="009653FA" w:rsidP="00F553CF">
      <w:pPr>
        <w:pStyle w:val="ListParagraph"/>
        <w:numPr>
          <w:ilvl w:val="2"/>
          <w:numId w:val="8"/>
        </w:numPr>
      </w:pPr>
      <w:r w:rsidRPr="00036A76">
        <w:t>Datum osni</w:t>
      </w:r>
      <w:r w:rsidR="00E37E92" w:rsidRPr="00036A76">
        <w:t>vanja i registracije emitenta:</w:t>
      </w:r>
    </w:p>
    <w:p w:rsidR="001C4120" w:rsidRPr="00036A76" w:rsidRDefault="001C4120" w:rsidP="001C4120">
      <w:pPr>
        <w:ind w:left="0" w:firstLine="0"/>
        <w:contextualSpacing/>
      </w:pPr>
      <w:r w:rsidRPr="00036A76">
        <w:lastRenderedPageBreak/>
        <w:t>Fond je osnovan 18.04.2002. godine, a registrovan dana 31.05.2002. godine na osnovu Rješenja Komisije za hartije od vrijednosti Republike Srpske, broj: 04-UP-041-P-842/02 od 15.05.2002. godine.</w:t>
      </w:r>
    </w:p>
    <w:p w:rsidR="00E37E92" w:rsidRPr="00036A76" w:rsidRDefault="00E37E92" w:rsidP="00E37E92">
      <w:pPr>
        <w:pStyle w:val="ListParagraph"/>
        <w:ind w:left="1080" w:firstLine="0"/>
      </w:pPr>
    </w:p>
    <w:p w:rsidR="004F35A1" w:rsidRPr="00036A76" w:rsidRDefault="004F35A1" w:rsidP="00F553CF">
      <w:pPr>
        <w:pStyle w:val="ListParagraph"/>
        <w:numPr>
          <w:ilvl w:val="2"/>
          <w:numId w:val="8"/>
        </w:numPr>
      </w:pPr>
      <w:r w:rsidRPr="00036A76">
        <w:t>Događaji značajni za razvoj:</w:t>
      </w:r>
    </w:p>
    <w:p w:rsidR="000B687A" w:rsidRPr="00036A76" w:rsidRDefault="00AF293E" w:rsidP="0035167D">
      <w:pPr>
        <w:ind w:left="0" w:firstLine="0"/>
        <w:contextualSpacing/>
        <w:rPr>
          <w:lang w:val="sr-Latn-BA"/>
        </w:rPr>
      </w:pPr>
      <w:r w:rsidRPr="00036A76">
        <w:rPr>
          <w:lang w:val="sr-Latn-BA"/>
        </w:rPr>
        <w:t>Komisija za hartije od vrijednosti je svojim Rešenjem broj: 01-UP-041-2453/07, dana 15.06.2007. godine dal</w:t>
      </w:r>
      <w:r w:rsidR="00A05CA8" w:rsidRPr="00036A76">
        <w:rPr>
          <w:lang w:val="sr-Latn-BA"/>
        </w:rPr>
        <w:t>a saglasnost za transformaciju F</w:t>
      </w:r>
      <w:r w:rsidRPr="00036A76">
        <w:rPr>
          <w:lang w:val="sr-Latn-BA"/>
        </w:rPr>
        <w:t xml:space="preserve">onda. </w:t>
      </w:r>
    </w:p>
    <w:p w:rsidR="000B687A" w:rsidRPr="00036A76" w:rsidRDefault="00AF293E" w:rsidP="0035167D">
      <w:pPr>
        <w:ind w:left="0" w:firstLine="0"/>
        <w:contextualSpacing/>
        <w:rPr>
          <w:lang w:val="sr-Latn-BA"/>
        </w:rPr>
      </w:pPr>
      <w:r w:rsidRPr="00036A76">
        <w:rPr>
          <w:lang w:val="sr-Latn-BA"/>
        </w:rPr>
        <w:t xml:space="preserve">Svojim Rešenjem, Komisija za HOV RS broj: 01-03-RE-2612/07, je dana 10.07.2007. godine, </w:t>
      </w:r>
    </w:p>
    <w:p w:rsidR="000B687A" w:rsidRPr="00036A76" w:rsidRDefault="00A05CA8" w:rsidP="0035167D">
      <w:pPr>
        <w:ind w:left="0" w:firstLine="0"/>
        <w:contextualSpacing/>
        <w:rPr>
          <w:lang w:val="sr-Latn-BA"/>
        </w:rPr>
      </w:pPr>
      <w:r w:rsidRPr="00036A76">
        <w:rPr>
          <w:lang w:val="sr-Latn-BA"/>
        </w:rPr>
        <w:t>izvršila upis F</w:t>
      </w:r>
      <w:r w:rsidR="00AF293E" w:rsidRPr="00036A76">
        <w:rPr>
          <w:lang w:val="sr-Latn-BA"/>
        </w:rPr>
        <w:t>onda u registar emitenata.</w:t>
      </w:r>
    </w:p>
    <w:p w:rsidR="00B15BE1" w:rsidRPr="00036A76" w:rsidRDefault="00B15BE1" w:rsidP="0035167D">
      <w:pPr>
        <w:ind w:left="0" w:firstLine="0"/>
        <w:contextualSpacing/>
        <w:rPr>
          <w:b/>
          <w:bCs/>
          <w:sz w:val="26"/>
          <w:szCs w:val="26"/>
        </w:rPr>
      </w:pPr>
    </w:p>
    <w:p w:rsidR="000342D6" w:rsidRPr="00036A76" w:rsidRDefault="000342D6" w:rsidP="00F553CF">
      <w:pPr>
        <w:pStyle w:val="ListParagraph"/>
        <w:numPr>
          <w:ilvl w:val="2"/>
          <w:numId w:val="8"/>
        </w:numPr>
      </w:pPr>
      <w:r w:rsidRPr="00036A76">
        <w:t>Nadzorni odbor Fonda izabran je na Skupštini akcionara Fonda, dana 11.05.2015.</w:t>
      </w:r>
    </w:p>
    <w:p w:rsidR="000342D6" w:rsidRPr="00036A76" w:rsidRDefault="000342D6" w:rsidP="000342D6">
      <w:pPr>
        <w:ind w:left="0" w:firstLine="0"/>
        <w:contextualSpacing/>
      </w:pPr>
      <w:r w:rsidRPr="00036A76">
        <w:t>godine na period od 4 godine</w:t>
      </w:r>
      <w:r w:rsidR="007E0ECA" w:rsidRPr="00036A76">
        <w:t>, odnosno na Skupštini</w:t>
      </w:r>
      <w:r w:rsidRPr="00036A76">
        <w:t xml:space="preserve"> Fonda, dana 06.04.2016. godine, u sljedećem sastavu:</w:t>
      </w:r>
    </w:p>
    <w:p w:rsidR="000342D6" w:rsidRPr="00036A76" w:rsidRDefault="000342D6" w:rsidP="000342D6">
      <w:pPr>
        <w:ind w:left="0" w:firstLine="0"/>
        <w:rPr>
          <w:lang w:val="sl-SI"/>
        </w:rPr>
      </w:pPr>
      <w:r w:rsidRPr="00036A76">
        <w:rPr>
          <w:b/>
          <w:i/>
        </w:rPr>
        <w:t>Darjo Pungartnik</w:t>
      </w:r>
      <w:r w:rsidRPr="00036A76">
        <w:t xml:space="preserve">, </w:t>
      </w:r>
      <w:r w:rsidRPr="00036A76">
        <w:rPr>
          <w:lang w:val="sr-Latn-BA"/>
        </w:rPr>
        <w:t>magistar ekonomije, predsjednik Nadzornog odbora Fonda,</w:t>
      </w:r>
      <w:r w:rsidRPr="00036A76">
        <w:rPr>
          <w:lang w:val="sl-SI"/>
        </w:rPr>
        <w:t xml:space="preserve"> </w:t>
      </w:r>
      <w:r w:rsidRPr="00036A76">
        <w:rPr>
          <w:lang w:val="sr-Latn-BA"/>
        </w:rPr>
        <w:t xml:space="preserve">trajanje mandata od 11.05.2015. godine do 11.05.2019. godine, rođen </w:t>
      </w:r>
      <w:r w:rsidRPr="00036A76">
        <w:rPr>
          <w:lang w:val="sl-SI"/>
        </w:rPr>
        <w:t xml:space="preserve">05.06.1968. godine u Slovenj Gradcu, Republika Slovenija. Visoko stručno obrazovanje diplomiranog inžinjera rudarstva stekao na Fakultetu za narovoslovlje i tehnologije, Univerziteta u Ljubljani, 1993. godine. Naučno zvanje magistra ekonomije posjeduje od 1997. godine. Zaposlen u </w:t>
      </w:r>
      <w:r w:rsidRPr="00036A76">
        <w:t>Poslovne storitve Darjo Pungartnik s.p. - preduzetnik</w:t>
      </w:r>
      <w:r w:rsidRPr="00036A76">
        <w:rPr>
          <w:lang w:val="sl-SI"/>
        </w:rPr>
        <w:t xml:space="preserve">. Funkciju direktora obavljao u preduzeću Pluton Gradnje d.o.o. i firmama kćerkama Pluton d.o.o., Oberon d.o.o., Projekt 10 d.o.o., Skupina Pluton d.o.o., </w:t>
      </w:r>
      <w:r w:rsidRPr="00036A76">
        <w:t xml:space="preserve">Biogoriva d.o.o., Pinus TKI d.o.o, Avanta Real d.d., Mins NO1 d.o.o., Premogovnik Velenje d.d. </w:t>
      </w:r>
      <w:r w:rsidRPr="00036A76">
        <w:rPr>
          <w:lang w:val="sl-SI"/>
        </w:rPr>
        <w:t>Republika Slovenija</w:t>
      </w:r>
      <w:r w:rsidRPr="00036A76">
        <w:t xml:space="preserve">. </w:t>
      </w:r>
      <w:r w:rsidRPr="00036A76">
        <w:rPr>
          <w:lang w:val="sl-SI"/>
        </w:rPr>
        <w:t>U posljednjih pet godina nije pravosnažno osuđen za krivična djela protiv privrede. Ni u jednom od navedenih emitenata nije vođen stečaj ili likvidacija u posljednjih pet godina. Od strane pravosudnih ili regulatornih organa nije bilo službenih optužbi ili sankcija, te u posljednjih pet godina sudskom odlukom nije isključen, niti mu je zabranjen rad u takvim organima.</w:t>
      </w:r>
    </w:p>
    <w:p w:rsidR="000342D6" w:rsidRPr="00036A76" w:rsidRDefault="000342D6" w:rsidP="000342D6">
      <w:pPr>
        <w:ind w:left="0" w:firstLine="0"/>
        <w:rPr>
          <w:lang w:val="sl-SI"/>
        </w:rPr>
      </w:pPr>
      <w:r w:rsidRPr="00036A76">
        <w:rPr>
          <w:b/>
          <w:i/>
          <w:lang w:val="sr-Latn-BA"/>
        </w:rPr>
        <w:t>Petar Dragičević</w:t>
      </w:r>
      <w:r w:rsidRPr="00036A76">
        <w:rPr>
          <w:lang w:val="sr-Cyrl-CS"/>
        </w:rPr>
        <w:t>,</w:t>
      </w:r>
      <w:r w:rsidRPr="00036A76">
        <w:rPr>
          <w:lang w:val="sl-SI"/>
        </w:rPr>
        <w:t xml:space="preserve"> magistar ekonomskih nauka, član Nadzornog odbora Fonda</w:t>
      </w:r>
    </w:p>
    <w:p w:rsidR="000342D6" w:rsidRPr="00036A76" w:rsidRDefault="000342D6" w:rsidP="000342D6">
      <w:pPr>
        <w:ind w:left="0" w:firstLine="0"/>
        <w:rPr>
          <w:lang w:val="sl-SI"/>
        </w:rPr>
      </w:pPr>
      <w:r w:rsidRPr="00036A76">
        <w:rPr>
          <w:lang w:val="sr-Latn-BA"/>
        </w:rPr>
        <w:t xml:space="preserve">trajanje mandata od 11.05.2015. godine do 11.05.2019. godine, </w:t>
      </w:r>
      <w:r w:rsidRPr="00036A76">
        <w:rPr>
          <w:lang w:val="sl-SI"/>
        </w:rPr>
        <w:t>rođen 30.08.1954. godine u Suhom Pol</w:t>
      </w:r>
      <w:r w:rsidR="007E0ECA" w:rsidRPr="00036A76">
        <w:rPr>
          <w:lang w:val="sl-SI"/>
        </w:rPr>
        <w:t>ju, Opština Bijeljina. Završio G</w:t>
      </w:r>
      <w:r w:rsidRPr="00036A76">
        <w:rPr>
          <w:lang w:val="sl-SI"/>
        </w:rPr>
        <w:t xml:space="preserve">imnaziju u Bijeljini, a visoko stručno obrazovanje diplomiranog ekonomiste stekao na Ekonomskom fakultetu, Univerziteta u Sarajevu, </w:t>
      </w:r>
      <w:r w:rsidRPr="00036A76">
        <w:rPr>
          <w:color w:val="000000"/>
          <w:lang w:val="sl-SI"/>
        </w:rPr>
        <w:t>1973. godine.</w:t>
      </w:r>
      <w:r w:rsidRPr="00036A76">
        <w:rPr>
          <w:lang w:val="sl-SI"/>
        </w:rPr>
        <w:t xml:space="preserve"> Naučno zvanje magistra ekonomskih nauka posjeduje od 2000. godine. Od stručnih i naučnih radova značajno je učestvovao u izradi brojnih studija, strategija iz oblasti elektroenergetskog sektora RS. Zaposlen u Rudniku i termoelektrani »Ugljevik« a.d. Ugljevik. Funkciju člana Nadzornog odbora je obavljao u preduzeću Komunalac a.d. Bijeljina, te bio član Upravnog odbora Društva za upravljanje investicionim fondovima »Invest nova« a.d. Bijeljina. Ni u jednom od navedenih emitenata nije vođen stečaj ili likvidacija u posljednjih pet godina. Od strane pravosudnih ili regulatornih organa nije bilo službenih optužbi ili sankcija, te u posljednjih pet godina sudskom odlukom nije isključen, niti mu je zabranjen rad u takvim organima.</w:t>
      </w:r>
    </w:p>
    <w:p w:rsidR="000342D6" w:rsidRPr="00036A76" w:rsidRDefault="000342D6" w:rsidP="000342D6">
      <w:pPr>
        <w:ind w:left="0" w:firstLine="0"/>
        <w:contextualSpacing/>
        <w:rPr>
          <w:lang w:val="sl-SI"/>
        </w:rPr>
      </w:pPr>
      <w:r w:rsidRPr="00036A76">
        <w:rPr>
          <w:b/>
          <w:i/>
        </w:rPr>
        <w:t>Biljana Čepujnoska Sekulić</w:t>
      </w:r>
      <w:r w:rsidRPr="00036A76">
        <w:t>, diplomirani ekonomista</w:t>
      </w:r>
      <w:r w:rsidRPr="00036A76">
        <w:rPr>
          <w:lang w:val="sr-Latn-BA"/>
        </w:rPr>
        <w:t xml:space="preserve">, član Nadzornog odbora Fonda, trajanje mandata od 06.04.2016. godine do 11.05.2019. godine, rođena </w:t>
      </w:r>
      <w:r w:rsidRPr="00036A76">
        <w:rPr>
          <w:lang w:val="sl-SI"/>
        </w:rPr>
        <w:t xml:space="preserve">02.03.1972. godine u Skoplju, Republika Makedonija. Visoko stručno obrazovanje diplomiranog ekonomiste stekla na Ekonomskom Fakultetu, Univerziteta »Sv. Kiril i Metodij« u Skoplju, 1995. godine. Investicioni bankar sa 20 godina radnog iskustva u oblasti korporativnih finansija i investicionog bankarstva. Radno iskustvo sticala je u Ministarstvu finansija Republike Makedonije, obavljala poslove savjetnika za poreze. Poslove portfolio analitičara obavljala u »Merrill Lynch«, Sun City, Arizona, Sjedinjene Američke Države. Poslove investicionog savjetovanja, obavljala u »Makedonskom poslovnom centru«, Skoplje. U periodu od 2002. godine do 2013. godine </w:t>
      </w:r>
      <w:r w:rsidRPr="00036A76">
        <w:rPr>
          <w:lang w:val="sl-SI"/>
        </w:rPr>
        <w:lastRenderedPageBreak/>
        <w:t xml:space="preserve">poslove rukovođenja privatizacijom i M&amp;A transakcijama obavljala u »Raiffeisen Investment AG – Predstavništvo Beograd«, raspoređena na poslovima nezavisnog konsultanta za investicije, menadžera projekta, potpredsjednika i direktora. Poslove finansijskog direktora u periodu od 2013. godine do februara 2016. godine, obavljala je u »ESTEX« d.o.o. Beograd. Trenutno nezavisni konsultant. </w:t>
      </w:r>
      <w:r w:rsidRPr="00036A76">
        <w:rPr>
          <w:lang w:val="sr-Latn-BA"/>
        </w:rPr>
        <w:t xml:space="preserve">Nije član Upravnih ili Nadzornih odbora u drugim emitentima i nije učestvovala u radu odbora </w:t>
      </w:r>
      <w:r w:rsidRPr="00036A76">
        <w:rPr>
          <w:lang w:val="sl-SI"/>
        </w:rPr>
        <w:t>emitenata u kojima je vođen stečaj ili likvidacija</w:t>
      </w:r>
      <w:r w:rsidRPr="00036A76">
        <w:rPr>
          <w:lang w:val="sr-Latn-BA"/>
        </w:rPr>
        <w:t xml:space="preserve"> u posljednjih pet godina</w:t>
      </w:r>
      <w:r w:rsidRPr="00036A76">
        <w:rPr>
          <w:lang w:val="sl-SI"/>
        </w:rPr>
        <w:t xml:space="preserve">. U posljednjih pet godina nije pravosnažno osuđena za krivična djela protiv privrede. Od strane pravosudnih ili regulatornih organa nije bilo službenih optužbi ili sankcija, te u posljednjih pet godina sudskom odlukom nije isključena, niti joj je zabranjen rad u takvim organima. </w:t>
      </w:r>
    </w:p>
    <w:p w:rsidR="000342D6" w:rsidRPr="00036A76" w:rsidRDefault="000342D6" w:rsidP="000342D6">
      <w:pPr>
        <w:ind w:left="0" w:firstLine="0"/>
        <w:contextualSpacing/>
        <w:rPr>
          <w:lang w:val="sl-SI"/>
        </w:rPr>
      </w:pPr>
      <w:r w:rsidRPr="00036A76">
        <w:rPr>
          <w:b/>
          <w:i/>
        </w:rPr>
        <w:t>Miladin Vidić</w:t>
      </w:r>
      <w:r w:rsidRPr="00036A76">
        <w:t>, diplomirani ekonomista</w:t>
      </w:r>
      <w:r w:rsidRPr="00036A76">
        <w:rPr>
          <w:lang w:val="sr-Latn-BA"/>
        </w:rPr>
        <w:t xml:space="preserve">, član Nadzornog odbora Fonda, trajanje mandata od 06.04.2016. godine do 11.05.2019. godine, rođen </w:t>
      </w:r>
      <w:r w:rsidRPr="00036A76">
        <w:rPr>
          <w:lang w:val="sl-SI"/>
        </w:rPr>
        <w:t>02.01.1950. godine u Donjoj Trnovi, Opština Ugljevik. Visoko stručno obrazovanje diplomiranog ekonomiste stekao na Ekonomskom Fakultetu u Subotici, Univerziteta u Novom Sadu, 1976. godine. Radno iskustvo sticao je u »RNK Zenica - Tvornica za preradu žice«, Bijeljina, na poslovima komercijalnog rukovodioca u periodu od 1976. godine do 1985. godine. Funkciju Direktora »Privredne banke Sarajevo – Osnovna banka Bijeljina«, obavljao u periodu od 1985. godine do 1992. godine, nakon čega prelazi u »Export Banku« a.d. Bijeljina do 2000. godine, kada usljed reorganizacije, ista mijenja naziv u »Nova banka« a.d. Bijeljina (danas Banja Luka) i u periodu od 2000. godine do penzionisanja, biva raspoređen na poslovima zamjenika direktora banke, savjetnika direktora banke, pomoćnika direktora banke za compliance, višeg samostalnog saradnika za upravljanje spornim kreditima – direkcija za upravljanje rizicima, višeg samostalnog saradnika – upravljanje spornim kreditima, sektor za upravljanje rizicima. Obavljao je funkciju člana Nadzornog odbora u akcionarskom društvu »Vodovod i kanalizacija«, Bijeljina. N</w:t>
      </w:r>
      <w:r w:rsidRPr="00036A76">
        <w:rPr>
          <w:lang w:val="sr-Latn-BA"/>
        </w:rPr>
        <w:t xml:space="preserve">ije učestvovao u radu odbora </w:t>
      </w:r>
      <w:r w:rsidRPr="00036A76">
        <w:rPr>
          <w:lang w:val="sl-SI"/>
        </w:rPr>
        <w:t>emitenata u kojima je vođen stečaj ili likvidacija</w:t>
      </w:r>
      <w:r w:rsidRPr="00036A76">
        <w:rPr>
          <w:lang w:val="sr-Latn-BA"/>
        </w:rPr>
        <w:t xml:space="preserve"> u posljednjih pet godina</w:t>
      </w:r>
      <w:r w:rsidRPr="00036A76">
        <w:rPr>
          <w:lang w:val="sl-SI"/>
        </w:rPr>
        <w:t xml:space="preserve">. U posljednjih pet godina nije pravosnažno osuđen za krivična djela protiv privrede. Od strane pravosudnih ili regulatornih organa nije bilo službenih optužbi ili sankcija, te u posljednjih pet godina sudskom odlukom nije isključen, niti mu je zabranjen rad u takvim organima. </w:t>
      </w:r>
    </w:p>
    <w:p w:rsidR="000342D6" w:rsidRPr="00036A76" w:rsidRDefault="000342D6" w:rsidP="000342D6">
      <w:pPr>
        <w:ind w:left="0" w:firstLine="0"/>
        <w:contextualSpacing/>
        <w:rPr>
          <w:lang w:val="sl-SI"/>
        </w:rPr>
      </w:pPr>
      <w:r w:rsidRPr="00036A76">
        <w:rPr>
          <w:b/>
          <w:i/>
        </w:rPr>
        <w:t>Cvijeta Cacanović</w:t>
      </w:r>
      <w:r w:rsidRPr="00036A76">
        <w:t xml:space="preserve">, diplomirani inženjer za informacione sisteme, </w:t>
      </w:r>
      <w:r w:rsidRPr="00036A76">
        <w:rPr>
          <w:lang w:val="sr-Latn-BA"/>
        </w:rPr>
        <w:t xml:space="preserve">član Nadzornog odbora Fonda, trajanje mandata od 06.04.2016. godine do 11.05.2019. godine, rođena </w:t>
      </w:r>
      <w:r w:rsidRPr="00036A76">
        <w:rPr>
          <w:lang w:val="sl-SI"/>
        </w:rPr>
        <w:t xml:space="preserve">12.09.1972. godine u Brčkom. Visoko stručno obrazovanje diplomiranog inženjera za informacione sisteme stekla na Fakultetu Organizacionih nauka, Univerziteta u Beogradu, 1998. godine. Radno iskustvo sticala je na poslovima višeg stručnog saradnika u »Srpskoj državnoj banci - Razvojna banka« a.d. Banja Luka, filijala Brčko i filijala Bijeljina, u periodu od 1998. godine do 2001. godine. Od 2001. godine, do danas zaposlena u Novoj banci a.d. Banja Luka. U navedenom periodu bila je raspoređena na poslovima višeg stručnog saradnika u AOP-u, šefa odjeljenja unutrašnjeg platnog prometa, obrade podataka i elektronskog bankarstva, višeg stručnog saradnika u samostalnom odjeljenju za internu kontrolu i saradnika u odjeljenju interne revizije. </w:t>
      </w:r>
      <w:r w:rsidRPr="00036A76">
        <w:rPr>
          <w:lang w:val="sr-Latn-BA"/>
        </w:rPr>
        <w:t xml:space="preserve">Nije član Upravnih ili Nadzornih odbora u drugim emitentima i nije učestvovala u radu odbora </w:t>
      </w:r>
      <w:r w:rsidRPr="00036A76">
        <w:rPr>
          <w:lang w:val="sl-SI"/>
        </w:rPr>
        <w:t>emitenata u kojima je vođen stečaj ili likvidacija</w:t>
      </w:r>
      <w:r w:rsidRPr="00036A76">
        <w:rPr>
          <w:lang w:val="sr-Latn-BA"/>
        </w:rPr>
        <w:t xml:space="preserve"> u posljednjih pet godina</w:t>
      </w:r>
      <w:r w:rsidRPr="00036A76">
        <w:rPr>
          <w:lang w:val="sl-SI"/>
        </w:rPr>
        <w:t xml:space="preserve">. U posljednjih pet godina nije pravosnažno osuđena za krivična djela protiv privrede. Od strane pravosudnih ili regulatornih organa nije bilo službenih optužbi ili sankcija, te u posljednjih pet godina sudskom odlukom nije isključena, niti joj je zabranjen rad u takvim organima. </w:t>
      </w:r>
    </w:p>
    <w:p w:rsidR="000342D6" w:rsidRPr="00036A76" w:rsidRDefault="000342D6" w:rsidP="0035167D">
      <w:pPr>
        <w:ind w:left="0" w:firstLine="0"/>
        <w:contextualSpacing/>
        <w:rPr>
          <w:b/>
          <w:bCs/>
          <w:sz w:val="26"/>
          <w:szCs w:val="26"/>
        </w:rPr>
      </w:pPr>
    </w:p>
    <w:p w:rsidR="004F35A1" w:rsidRPr="00036A76" w:rsidRDefault="0035167D" w:rsidP="00F553CF">
      <w:pPr>
        <w:pStyle w:val="ListParagraph"/>
        <w:numPr>
          <w:ilvl w:val="0"/>
          <w:numId w:val="8"/>
        </w:numPr>
        <w:rPr>
          <w:b/>
          <w:lang w:val="sr-Latn-BA"/>
        </w:rPr>
      </w:pPr>
      <w:r w:rsidRPr="00036A76">
        <w:rPr>
          <w:b/>
          <w:bCs/>
          <w:sz w:val="26"/>
          <w:szCs w:val="26"/>
        </w:rPr>
        <w:t>ORGANIZACIONA STRUKTURA</w:t>
      </w:r>
    </w:p>
    <w:p w:rsidR="004F35A1" w:rsidRPr="00036A76" w:rsidRDefault="00AF293E" w:rsidP="00F553CF">
      <w:pPr>
        <w:pStyle w:val="ListParagraph"/>
        <w:numPr>
          <w:ilvl w:val="1"/>
          <w:numId w:val="8"/>
        </w:numPr>
        <w:ind w:left="1080" w:hanging="720"/>
        <w:rPr>
          <w:lang w:val="sr-Latn-BA"/>
        </w:rPr>
      </w:pPr>
      <w:r w:rsidRPr="00036A76">
        <w:t>Grupa/koncern kojoj Fond pripada: Fond nije dio grupe/koncerna ili korporacije, djeluje samostalno</w:t>
      </w:r>
      <w:r w:rsidR="004F35A1" w:rsidRPr="00036A76">
        <w:t>.</w:t>
      </w:r>
    </w:p>
    <w:p w:rsidR="004F35A1" w:rsidRPr="00036A76" w:rsidRDefault="004F35A1" w:rsidP="00F553CF">
      <w:pPr>
        <w:pStyle w:val="ListParagraph"/>
        <w:numPr>
          <w:ilvl w:val="1"/>
          <w:numId w:val="8"/>
        </w:numPr>
        <w:ind w:left="1080" w:hanging="720"/>
        <w:rPr>
          <w:lang w:val="sr-Latn-BA"/>
        </w:rPr>
      </w:pPr>
      <w:r w:rsidRPr="00036A76">
        <w:rPr>
          <w:bCs/>
        </w:rPr>
        <w:lastRenderedPageBreak/>
        <w:t>Fond nema zavisnih društava.</w:t>
      </w:r>
    </w:p>
    <w:p w:rsidR="004F35A1" w:rsidRPr="00036A76" w:rsidRDefault="004F35A1" w:rsidP="004F35A1">
      <w:pPr>
        <w:ind w:left="0" w:firstLine="0"/>
        <w:contextualSpacing/>
        <w:rPr>
          <w:bCs/>
          <w:color w:val="C00000"/>
        </w:rPr>
      </w:pPr>
    </w:p>
    <w:p w:rsidR="004F35A1" w:rsidRPr="00036A76" w:rsidRDefault="0035167D" w:rsidP="00F553CF">
      <w:pPr>
        <w:pStyle w:val="ListParagraph"/>
        <w:numPr>
          <w:ilvl w:val="0"/>
          <w:numId w:val="8"/>
        </w:numPr>
        <w:rPr>
          <w:b/>
          <w:bCs/>
        </w:rPr>
      </w:pPr>
      <w:r w:rsidRPr="00036A76">
        <w:rPr>
          <w:b/>
          <w:bCs/>
        </w:rPr>
        <w:t>FINANSIJSKO STANJE</w:t>
      </w:r>
    </w:p>
    <w:p w:rsidR="004F35A1" w:rsidRPr="00036A76" w:rsidRDefault="001669EB" w:rsidP="004F35A1">
      <w:pPr>
        <w:ind w:left="0" w:firstLine="0"/>
        <w:contextualSpacing/>
        <w:rPr>
          <w:bCs/>
        </w:rPr>
      </w:pPr>
      <w:r w:rsidRPr="00036A76">
        <w:rPr>
          <w:color w:val="000000"/>
          <w:lang w:eastAsia="en-GB"/>
        </w:rPr>
        <w:t>Fond</w:t>
      </w:r>
      <w:r w:rsidR="004F35A1" w:rsidRPr="00036A76">
        <w:rPr>
          <w:color w:val="000000"/>
          <w:lang w:eastAsia="en-GB"/>
        </w:rPr>
        <w:t xml:space="preserve"> je poslovao s gubitkom u obe posmatrane poslovne godine.</w:t>
      </w:r>
    </w:p>
    <w:p w:rsidR="004F35A1" w:rsidRPr="00036A76" w:rsidRDefault="0058542C" w:rsidP="004F35A1">
      <w:pPr>
        <w:ind w:left="0" w:firstLine="0"/>
        <w:contextualSpacing/>
        <w:rPr>
          <w:bCs/>
        </w:rPr>
      </w:pPr>
      <w:r w:rsidRPr="00036A76">
        <w:rPr>
          <w:color w:val="000000"/>
          <w:lang w:eastAsia="en-GB"/>
        </w:rPr>
        <w:t>Realizovani</w:t>
      </w:r>
      <w:r w:rsidR="004F35A1" w:rsidRPr="00036A76">
        <w:rPr>
          <w:color w:val="000000"/>
          <w:lang w:eastAsia="en-GB"/>
        </w:rPr>
        <w:t xml:space="preserve"> gubitak </w:t>
      </w:r>
      <w:r w:rsidRPr="00036A76">
        <w:rPr>
          <w:color w:val="000000"/>
          <w:lang w:eastAsia="en-GB"/>
        </w:rPr>
        <w:t>poslije oporezivanja u</w:t>
      </w:r>
      <w:r w:rsidR="004F35A1" w:rsidRPr="00036A76">
        <w:rPr>
          <w:color w:val="000000"/>
          <w:lang w:eastAsia="en-GB"/>
        </w:rPr>
        <w:t xml:space="preserve"> 201</w:t>
      </w:r>
      <w:r w:rsidR="00C63130" w:rsidRPr="00036A76">
        <w:rPr>
          <w:color w:val="000000"/>
          <w:lang w:eastAsia="en-GB"/>
        </w:rPr>
        <w:t>5</w:t>
      </w:r>
      <w:r w:rsidR="004F35A1" w:rsidRPr="00036A76">
        <w:rPr>
          <w:color w:val="000000"/>
          <w:lang w:eastAsia="en-GB"/>
        </w:rPr>
        <w:t xml:space="preserve">. iznosi </w:t>
      </w:r>
      <w:r w:rsidRPr="00036A76">
        <w:rPr>
          <w:color w:val="000000"/>
          <w:lang w:eastAsia="en-GB"/>
        </w:rPr>
        <w:t>595.302,00</w:t>
      </w:r>
      <w:r w:rsidR="004F35A1" w:rsidRPr="00036A76">
        <w:rPr>
          <w:color w:val="000000"/>
          <w:lang w:eastAsia="en-GB"/>
        </w:rPr>
        <w:t xml:space="preserve">KM, a </w:t>
      </w:r>
      <w:r w:rsidRPr="00036A76">
        <w:rPr>
          <w:color w:val="000000"/>
          <w:lang w:eastAsia="en-GB"/>
        </w:rPr>
        <w:t xml:space="preserve">nerealizovani </w:t>
      </w:r>
      <w:r w:rsidR="004F35A1" w:rsidRPr="00036A76">
        <w:rPr>
          <w:color w:val="000000"/>
          <w:lang w:eastAsia="en-GB"/>
        </w:rPr>
        <w:t xml:space="preserve">gubitak </w:t>
      </w:r>
      <w:r w:rsidRPr="00036A76">
        <w:rPr>
          <w:color w:val="000000"/>
          <w:lang w:eastAsia="en-GB"/>
        </w:rPr>
        <w:t>na dan 31.12.2015. godine</w:t>
      </w:r>
      <w:r w:rsidR="00B15BE1" w:rsidRPr="00036A76">
        <w:rPr>
          <w:color w:val="000000"/>
          <w:lang w:eastAsia="en-GB"/>
        </w:rPr>
        <w:t xml:space="preserve"> je iznosio 2.627.433,00</w:t>
      </w:r>
      <w:r w:rsidRPr="00036A76">
        <w:rPr>
          <w:color w:val="000000"/>
          <w:lang w:eastAsia="en-GB"/>
        </w:rPr>
        <w:t xml:space="preserve">KM, tako da su ukupni nerealizovani gubici u </w:t>
      </w:r>
      <w:r w:rsidR="004F35A1" w:rsidRPr="00036A76">
        <w:rPr>
          <w:color w:val="000000"/>
          <w:lang w:eastAsia="en-GB"/>
        </w:rPr>
        <w:t xml:space="preserve"> 201</w:t>
      </w:r>
      <w:r w:rsidR="00E37B80" w:rsidRPr="00036A76">
        <w:rPr>
          <w:color w:val="000000"/>
          <w:lang w:eastAsia="en-GB"/>
        </w:rPr>
        <w:t>5</w:t>
      </w:r>
      <w:r w:rsidR="004F35A1" w:rsidRPr="00036A76">
        <w:rPr>
          <w:color w:val="000000"/>
          <w:lang w:eastAsia="en-GB"/>
        </w:rPr>
        <w:t>.</w:t>
      </w:r>
      <w:r w:rsidR="00E37B80" w:rsidRPr="00036A76">
        <w:rPr>
          <w:color w:val="000000"/>
          <w:lang w:eastAsia="en-GB"/>
        </w:rPr>
        <w:t xml:space="preserve"> </w:t>
      </w:r>
      <w:r w:rsidRPr="00036A76">
        <w:rPr>
          <w:color w:val="000000"/>
          <w:lang w:eastAsia="en-GB"/>
        </w:rPr>
        <w:t>g</w:t>
      </w:r>
      <w:r w:rsidR="004F35A1" w:rsidRPr="00036A76">
        <w:rPr>
          <w:color w:val="000000"/>
          <w:lang w:eastAsia="en-GB"/>
        </w:rPr>
        <w:t>od</w:t>
      </w:r>
      <w:r w:rsidRPr="00036A76">
        <w:rPr>
          <w:color w:val="000000"/>
          <w:lang w:eastAsia="en-GB"/>
        </w:rPr>
        <w:t>ini iznosili 3.807.605,00</w:t>
      </w:r>
      <w:r w:rsidR="004F35A1" w:rsidRPr="00036A76">
        <w:rPr>
          <w:color w:val="000000"/>
          <w:lang w:eastAsia="en-GB"/>
        </w:rPr>
        <w:t>KM.</w:t>
      </w:r>
    </w:p>
    <w:p w:rsidR="004F35A1" w:rsidRPr="00036A76" w:rsidRDefault="00797C07" w:rsidP="004F35A1">
      <w:pPr>
        <w:ind w:left="0" w:firstLine="0"/>
        <w:contextualSpacing/>
        <w:rPr>
          <w:bCs/>
        </w:rPr>
      </w:pPr>
      <w:r w:rsidRPr="00036A76">
        <w:rPr>
          <w:color w:val="000000"/>
          <w:lang w:eastAsia="en-GB"/>
        </w:rPr>
        <w:t>U toku 2016</w:t>
      </w:r>
      <w:r w:rsidR="004F35A1" w:rsidRPr="00036A76">
        <w:rPr>
          <w:color w:val="000000"/>
          <w:lang w:eastAsia="en-GB"/>
        </w:rPr>
        <w:t>.</w:t>
      </w:r>
      <w:r w:rsidR="00E37B80" w:rsidRPr="00036A76">
        <w:rPr>
          <w:color w:val="000000"/>
          <w:lang w:eastAsia="en-GB"/>
        </w:rPr>
        <w:t xml:space="preserve"> </w:t>
      </w:r>
      <w:r w:rsidR="004F35A1" w:rsidRPr="00036A76">
        <w:rPr>
          <w:color w:val="000000"/>
          <w:lang w:eastAsia="en-GB"/>
        </w:rPr>
        <w:t>god</w:t>
      </w:r>
      <w:r w:rsidR="00E37B80" w:rsidRPr="00036A76">
        <w:rPr>
          <w:color w:val="000000"/>
          <w:lang w:eastAsia="en-GB"/>
        </w:rPr>
        <w:t xml:space="preserve">ine je </w:t>
      </w:r>
      <w:r w:rsidR="004F35A1" w:rsidRPr="00036A76">
        <w:rPr>
          <w:color w:val="000000"/>
          <w:lang w:eastAsia="en-GB"/>
        </w:rPr>
        <w:t>realiz</w:t>
      </w:r>
      <w:r w:rsidR="00E37B80" w:rsidRPr="00036A76">
        <w:rPr>
          <w:color w:val="000000"/>
          <w:lang w:eastAsia="en-GB"/>
        </w:rPr>
        <w:t xml:space="preserve">ovan poslovni gubitak </w:t>
      </w:r>
      <w:r w:rsidR="0058542C" w:rsidRPr="00036A76">
        <w:rPr>
          <w:color w:val="000000"/>
          <w:lang w:eastAsia="en-GB"/>
        </w:rPr>
        <w:t xml:space="preserve">poslije oporezivanja iznosio </w:t>
      </w:r>
      <w:r w:rsidR="005C248A" w:rsidRPr="00036A76">
        <w:rPr>
          <w:color w:val="000000"/>
          <w:lang w:eastAsia="en-GB"/>
        </w:rPr>
        <w:t>3.211-944,00</w:t>
      </w:r>
      <w:r w:rsidR="004F35A1" w:rsidRPr="00036A76">
        <w:rPr>
          <w:color w:val="000000"/>
          <w:lang w:eastAsia="en-GB"/>
        </w:rPr>
        <w:t xml:space="preserve"> KM</w:t>
      </w:r>
      <w:r w:rsidR="002E324A" w:rsidRPr="00036A76">
        <w:rPr>
          <w:color w:val="000000"/>
          <w:lang w:eastAsia="en-GB"/>
        </w:rPr>
        <w:t>, dok je nerealizovani gubitak na godišnjem nivou izno</w:t>
      </w:r>
      <w:r w:rsidR="00B15BE1" w:rsidRPr="00036A76">
        <w:rPr>
          <w:color w:val="000000"/>
          <w:lang w:eastAsia="en-GB"/>
        </w:rPr>
        <w:t>sio</w:t>
      </w:r>
      <w:r w:rsidR="005C248A" w:rsidRPr="00036A76">
        <w:rPr>
          <w:color w:val="000000"/>
          <w:lang w:eastAsia="en-GB"/>
        </w:rPr>
        <w:t xml:space="preserve"> 42.055.227</w:t>
      </w:r>
      <w:r w:rsidR="00B15BE1" w:rsidRPr="00036A76">
        <w:rPr>
          <w:color w:val="000000"/>
          <w:lang w:eastAsia="en-GB"/>
        </w:rPr>
        <w:t>,00</w:t>
      </w:r>
      <w:r w:rsidR="002E324A" w:rsidRPr="00036A76">
        <w:rPr>
          <w:color w:val="000000"/>
          <w:lang w:eastAsia="en-GB"/>
        </w:rPr>
        <w:t>KM. Nerealizovani dobici na HOV na godiš</w:t>
      </w:r>
      <w:r w:rsidR="002F65E7" w:rsidRPr="00036A76">
        <w:rPr>
          <w:color w:val="000000"/>
          <w:lang w:eastAsia="en-GB"/>
        </w:rPr>
        <w:t xml:space="preserve">njem nivou su iznosili </w:t>
      </w:r>
      <w:r w:rsidR="00842515" w:rsidRPr="00036A76">
        <w:rPr>
          <w:color w:val="000000"/>
          <w:lang w:eastAsia="en-GB"/>
        </w:rPr>
        <w:t>1.496.954</w:t>
      </w:r>
      <w:r w:rsidR="002E324A" w:rsidRPr="00036A76">
        <w:rPr>
          <w:color w:val="000000"/>
          <w:lang w:eastAsia="en-GB"/>
        </w:rPr>
        <w:t>,00</w:t>
      </w:r>
      <w:r w:rsidR="004F35A1" w:rsidRPr="00036A76">
        <w:rPr>
          <w:color w:val="000000"/>
          <w:lang w:eastAsia="en-GB"/>
        </w:rPr>
        <w:t>KM</w:t>
      </w:r>
      <w:r w:rsidR="002E324A" w:rsidRPr="00036A76">
        <w:rPr>
          <w:color w:val="000000"/>
          <w:lang w:eastAsia="en-GB"/>
        </w:rPr>
        <w:t>.</w:t>
      </w:r>
    </w:p>
    <w:p w:rsidR="004F35A1" w:rsidRPr="00036A76" w:rsidRDefault="004F35A1" w:rsidP="004F35A1">
      <w:pPr>
        <w:ind w:left="0" w:firstLine="0"/>
        <w:contextualSpacing/>
        <w:rPr>
          <w:bCs/>
        </w:rPr>
      </w:pPr>
      <w:r w:rsidRPr="00036A76">
        <w:rPr>
          <w:color w:val="000000"/>
          <w:lang w:eastAsia="en-GB"/>
        </w:rPr>
        <w:t>Fond je uspješno održavao tekuću likvidnost u toku posmatranog perioda i nije imao problema u izmirivanju svojih obaveza.</w:t>
      </w:r>
    </w:p>
    <w:p w:rsidR="004F35A1" w:rsidRPr="00036A76" w:rsidRDefault="004F35A1" w:rsidP="00E37B80">
      <w:pPr>
        <w:pStyle w:val="Heading5"/>
        <w:spacing w:before="0" w:after="0"/>
        <w:contextualSpacing/>
        <w:jc w:val="both"/>
        <w:rPr>
          <w:rFonts w:ascii="Times New Roman" w:hAnsi="Times New Roman"/>
          <w:b w:val="0"/>
          <w:i w:val="0"/>
          <w:sz w:val="24"/>
          <w:szCs w:val="24"/>
        </w:rPr>
      </w:pPr>
      <w:r w:rsidRPr="00036A76">
        <w:rPr>
          <w:rFonts w:ascii="Times New Roman" w:hAnsi="Times New Roman"/>
          <w:b w:val="0"/>
          <w:i w:val="0"/>
          <w:sz w:val="24"/>
          <w:szCs w:val="24"/>
        </w:rPr>
        <w:t>Raspodjela dobiti</w:t>
      </w:r>
      <w:r w:rsidR="004E262B" w:rsidRPr="00036A76">
        <w:rPr>
          <w:rFonts w:ascii="Times New Roman" w:hAnsi="Times New Roman"/>
          <w:b w:val="0"/>
          <w:i w:val="0"/>
          <w:sz w:val="24"/>
          <w:szCs w:val="24"/>
        </w:rPr>
        <w:t>:</w:t>
      </w:r>
    </w:p>
    <w:p w:rsidR="004F35A1" w:rsidRPr="00036A76" w:rsidRDefault="004F35A1" w:rsidP="004F35A1">
      <w:pPr>
        <w:ind w:left="0" w:firstLine="0"/>
        <w:contextualSpacing/>
      </w:pPr>
      <w:r w:rsidRPr="00036A76">
        <w:t>U skladu sa Zakonom i Statutom Fonda, a nakon usvajanja godišnjih finansijskih izvještaja, Glavna skupština odlučuje o raspodjeli dobiti i eventualnoj isplati dividende. Društvo za upravlja</w:t>
      </w:r>
      <w:r w:rsidR="00AF4115" w:rsidRPr="00036A76">
        <w:t>nje predlaže raspodjelu dobiti za</w:t>
      </w:r>
      <w:r w:rsidRPr="00036A76">
        <w:t>visno o rezultatima poslovanja, poslovnom s</w:t>
      </w:r>
      <w:r w:rsidR="00AF4115" w:rsidRPr="00036A76">
        <w:t>tanju u Fondu i drugim pokazateljima</w:t>
      </w:r>
      <w:r w:rsidRPr="00036A76">
        <w:t>.</w:t>
      </w:r>
    </w:p>
    <w:p w:rsidR="00E37B80" w:rsidRPr="00036A76" w:rsidRDefault="004F35A1" w:rsidP="00E37B80">
      <w:pPr>
        <w:ind w:left="0" w:firstLine="0"/>
        <w:contextualSpacing/>
      </w:pPr>
      <w:r w:rsidRPr="00036A76">
        <w:t xml:space="preserve">Fond do sada nije isplaćivao dividendu. </w:t>
      </w:r>
    </w:p>
    <w:p w:rsidR="00F94DFD" w:rsidRPr="00036A76" w:rsidRDefault="00F94DFD" w:rsidP="00E37B80">
      <w:pPr>
        <w:ind w:left="0" w:firstLine="0"/>
        <w:contextualSpacing/>
      </w:pPr>
    </w:p>
    <w:p w:rsidR="00446EED" w:rsidRPr="00036A76" w:rsidRDefault="001669EB" w:rsidP="00F553CF">
      <w:pPr>
        <w:pStyle w:val="ListParagraph"/>
        <w:numPr>
          <w:ilvl w:val="0"/>
          <w:numId w:val="8"/>
        </w:numPr>
        <w:rPr>
          <w:b/>
        </w:rPr>
      </w:pPr>
      <w:r w:rsidRPr="00036A76">
        <w:rPr>
          <w:b/>
        </w:rPr>
        <w:t>ČINJENICE KOJE UTIČU ILI ĆE UTICATI NA POSLOVANJE FONDA</w:t>
      </w:r>
      <w:r w:rsidR="00FD383C" w:rsidRPr="00036A76">
        <w:rPr>
          <w:b/>
        </w:rPr>
        <w:t xml:space="preserve"> </w:t>
      </w:r>
    </w:p>
    <w:p w:rsidR="00734B9B" w:rsidRPr="00036A76" w:rsidRDefault="00C50122" w:rsidP="00A236CC">
      <w:pPr>
        <w:ind w:left="0" w:firstLine="0"/>
        <w:contextualSpacing/>
      </w:pPr>
      <w:r w:rsidRPr="00036A76">
        <w:t>Na poslovanje F</w:t>
      </w:r>
      <w:r w:rsidR="00A97694" w:rsidRPr="00036A76">
        <w:t xml:space="preserve">onda </w:t>
      </w:r>
      <w:r w:rsidR="000F7ECC" w:rsidRPr="00036A76">
        <w:t>će uticati po</w:t>
      </w:r>
      <w:r w:rsidR="008B2CF4" w:rsidRPr="00036A76">
        <w:t>slovanje emitenata u portfelju Fonda, u kojima F</w:t>
      </w:r>
      <w:r w:rsidR="000F7ECC" w:rsidRPr="00036A76">
        <w:t>ond ima učešć</w:t>
      </w:r>
      <w:r w:rsidR="00734B9B" w:rsidRPr="00036A76">
        <w:t>e.</w:t>
      </w:r>
    </w:p>
    <w:p w:rsidR="00957D4D" w:rsidRPr="00036A76" w:rsidRDefault="002D203C" w:rsidP="00A236CC">
      <w:pPr>
        <w:ind w:left="0" w:firstLine="0"/>
        <w:contextualSpacing/>
      </w:pPr>
      <w:r w:rsidRPr="00036A76">
        <w:t>Imovina Fonda se satoji od nelikvidnih hartija od vrijednosti i gotovine na</w:t>
      </w:r>
      <w:r w:rsidR="008B2CF4" w:rsidRPr="00036A76">
        <w:t xml:space="preserve"> </w:t>
      </w:r>
      <w:r w:rsidR="00957D4D" w:rsidRPr="00036A76">
        <w:t>njegovim transakcionim računima, i ove činjenice će uticati na poslovanje Fonda.</w:t>
      </w:r>
    </w:p>
    <w:p w:rsidR="00957D4D" w:rsidRPr="00036A76" w:rsidRDefault="00957D4D" w:rsidP="00A236CC">
      <w:pPr>
        <w:ind w:left="0" w:firstLine="0"/>
        <w:contextualSpacing/>
      </w:pPr>
      <w:r w:rsidRPr="00036A76">
        <w:t>Poslovanje Fonda će biti otežano pošto nije realno ostvarivanje prihoda po osnovu nelikvidnih hartija od vrijednosti i od prodaje nelikvidne imovine, tako da će visina novčanih sredstava koja ostane na računima Fonda biti odlučujuća za njegovo trajanje.</w:t>
      </w:r>
    </w:p>
    <w:p w:rsidR="000E73E8" w:rsidRPr="00036A76" w:rsidRDefault="00957D4D" w:rsidP="00A236CC">
      <w:pPr>
        <w:ind w:left="0" w:firstLine="0"/>
        <w:contextualSpacing/>
      </w:pPr>
      <w:r w:rsidRPr="00036A76">
        <w:t xml:space="preserve">Nedostatak novčanih sredstava za izmirenje tekućih obaveza Fonda će usloviti donošenje </w:t>
      </w:r>
      <w:r w:rsidR="002D78C3" w:rsidRPr="00036A76">
        <w:t xml:space="preserve">odluke o njegovoj likvidaciji. </w:t>
      </w:r>
    </w:p>
    <w:p w:rsidR="00E37B80" w:rsidRPr="00036A76" w:rsidRDefault="00C721D3" w:rsidP="00677EFF">
      <w:pPr>
        <w:ind w:left="0" w:firstLine="0"/>
        <w:contextualSpacing/>
      </w:pPr>
      <w:r w:rsidRPr="00036A76">
        <w:t xml:space="preserve">Promjena poreskih propisa u Republici Srpskoj </w:t>
      </w:r>
      <w:r w:rsidR="009D7531" w:rsidRPr="00036A76">
        <w:t>i</w:t>
      </w:r>
      <w:r w:rsidRPr="00036A76">
        <w:t xml:space="preserve"> u Fedraciji BiH može negativno uticati na</w:t>
      </w:r>
      <w:r w:rsidR="00C50122" w:rsidRPr="00036A76">
        <w:t xml:space="preserve"> poslovanje F</w:t>
      </w:r>
      <w:r w:rsidR="009D7531" w:rsidRPr="00036A76">
        <w:t>onda</w:t>
      </w:r>
      <w:r w:rsidR="002D78C3" w:rsidRPr="00036A76">
        <w:t>.</w:t>
      </w:r>
    </w:p>
    <w:p w:rsidR="00A236CC" w:rsidRPr="00036A76" w:rsidRDefault="00A236CC" w:rsidP="00A236CC">
      <w:pPr>
        <w:pStyle w:val="ListParagraph"/>
        <w:ind w:firstLine="0"/>
        <w:rPr>
          <w:b/>
          <w:bCs/>
          <w:sz w:val="26"/>
          <w:szCs w:val="26"/>
        </w:rPr>
      </w:pPr>
    </w:p>
    <w:p w:rsidR="009D7531" w:rsidRPr="00036A76" w:rsidRDefault="00F94DFD" w:rsidP="00F553CF">
      <w:pPr>
        <w:pStyle w:val="ListParagraph"/>
        <w:numPr>
          <w:ilvl w:val="0"/>
          <w:numId w:val="8"/>
        </w:numPr>
        <w:rPr>
          <w:b/>
          <w:bCs/>
          <w:sz w:val="26"/>
          <w:szCs w:val="26"/>
        </w:rPr>
      </w:pPr>
      <w:r w:rsidRPr="00036A76">
        <w:rPr>
          <w:b/>
          <w:bCs/>
          <w:sz w:val="26"/>
          <w:szCs w:val="26"/>
        </w:rPr>
        <w:t>INFORMACIJE U VEZI SVIH VLADINIH, EKONOMSKIH, FISKALNIH, MONETARNIH ILI POLITIČKIH MJERA ILI FAKTORA KOJI SU ZNAČAJNO UTICALI, ILI BI MOGLI ZNAČAJNO DA UTIČU, DIREKTNO ILI INDIREKTNO, NA POSLOVANJE FONDA</w:t>
      </w:r>
    </w:p>
    <w:p w:rsidR="00F94DFD" w:rsidRPr="00036A76" w:rsidRDefault="00F94DFD" w:rsidP="00F94DFD">
      <w:pPr>
        <w:ind w:left="0" w:firstLine="0"/>
        <w:rPr>
          <w:bCs/>
        </w:rPr>
      </w:pPr>
      <w:r w:rsidRPr="00036A76">
        <w:rPr>
          <w:bCs/>
        </w:rPr>
        <w:t>Ne postoje informacije u vezi svih vladinih, ekonomskih, fisklanih, monetarnih ili političkih mjera ili faktora koje su značajno uticale, ili bi mogle značajno da utiču, direktno ili indirektno, na poslovanje Fonda.</w:t>
      </w:r>
    </w:p>
    <w:p w:rsidR="009D7531" w:rsidRPr="00036A76" w:rsidRDefault="009D7531" w:rsidP="00A236CC">
      <w:pPr>
        <w:pStyle w:val="ListParagraph"/>
        <w:ind w:firstLine="0"/>
        <w:rPr>
          <w:b/>
          <w:bCs/>
          <w:sz w:val="26"/>
          <w:szCs w:val="26"/>
        </w:rPr>
      </w:pPr>
    </w:p>
    <w:p w:rsidR="00F94DFD" w:rsidRPr="00036A76" w:rsidRDefault="00F94DFD" w:rsidP="00F553CF">
      <w:pPr>
        <w:pStyle w:val="ListParagraph"/>
        <w:numPr>
          <w:ilvl w:val="0"/>
          <w:numId w:val="8"/>
        </w:numPr>
        <w:rPr>
          <w:b/>
          <w:bCs/>
          <w:sz w:val="26"/>
          <w:szCs w:val="26"/>
        </w:rPr>
      </w:pPr>
      <w:r w:rsidRPr="00036A76">
        <w:rPr>
          <w:b/>
          <w:bCs/>
          <w:sz w:val="26"/>
          <w:szCs w:val="26"/>
        </w:rPr>
        <w:t xml:space="preserve"> INFORMACIJE O SVIM OGRANIČENJIMA KORIŠĆENJA KAPITALNIH SREDSTAVA KOJA SU ZNAČAJNO UTICALA, ILI BI MOGLA ZNAČAJNO DA UTIČU, DIREKTNO ILI INDIREKTNO, NA POSLOVANJE FONDA</w:t>
      </w:r>
    </w:p>
    <w:p w:rsidR="00F94DFD" w:rsidRPr="00036A76" w:rsidRDefault="00F94DFD" w:rsidP="00F94DFD">
      <w:pPr>
        <w:ind w:left="0" w:firstLine="0"/>
        <w:rPr>
          <w:bCs/>
        </w:rPr>
      </w:pPr>
      <w:r w:rsidRPr="00036A76">
        <w:rPr>
          <w:bCs/>
        </w:rPr>
        <w:t>Ne postoje informacije o svim ograničenjima korišćenja kapitalnih sredstava koja su značajno uticala, ili bi mogla značajno da utiču, direktno ili indirektno, na poslovanje Fonda.</w:t>
      </w:r>
    </w:p>
    <w:p w:rsidR="00F94DFD" w:rsidRPr="00036A76" w:rsidRDefault="00F94DFD" w:rsidP="00F94DFD">
      <w:pPr>
        <w:pStyle w:val="ListParagraph"/>
        <w:ind w:firstLine="0"/>
        <w:rPr>
          <w:b/>
          <w:bCs/>
          <w:sz w:val="26"/>
          <w:szCs w:val="26"/>
        </w:rPr>
      </w:pPr>
    </w:p>
    <w:p w:rsidR="00F94DFD" w:rsidRPr="00036A76" w:rsidRDefault="00F94DFD" w:rsidP="00F553CF">
      <w:pPr>
        <w:pStyle w:val="ListParagraph"/>
        <w:numPr>
          <w:ilvl w:val="0"/>
          <w:numId w:val="8"/>
        </w:numPr>
        <w:rPr>
          <w:b/>
          <w:bCs/>
          <w:sz w:val="26"/>
          <w:szCs w:val="26"/>
        </w:rPr>
      </w:pPr>
      <w:r w:rsidRPr="00036A76">
        <w:rPr>
          <w:b/>
          <w:bCs/>
          <w:sz w:val="26"/>
          <w:szCs w:val="26"/>
        </w:rPr>
        <w:t>PREDVIĐANJA ILI PROCJENE DOBITI</w:t>
      </w:r>
    </w:p>
    <w:p w:rsidR="00F94DFD" w:rsidRPr="00036A76" w:rsidRDefault="00F94DFD" w:rsidP="00F94DFD">
      <w:pPr>
        <w:ind w:left="0" w:firstLine="0"/>
        <w:rPr>
          <w:bCs/>
        </w:rPr>
      </w:pPr>
      <w:r w:rsidRPr="00036A76">
        <w:rPr>
          <w:bCs/>
        </w:rPr>
        <w:t>Fond ne uključuje procjenu ili predviđanje dobiti.</w:t>
      </w:r>
    </w:p>
    <w:p w:rsidR="00B86298" w:rsidRPr="00036A76" w:rsidRDefault="00B86298" w:rsidP="00F94DFD">
      <w:pPr>
        <w:ind w:left="0" w:firstLine="0"/>
        <w:rPr>
          <w:bCs/>
        </w:rPr>
      </w:pPr>
    </w:p>
    <w:p w:rsidR="003D695F" w:rsidRPr="00036A76" w:rsidRDefault="00527AE4" w:rsidP="00F553CF">
      <w:pPr>
        <w:pStyle w:val="ListParagraph"/>
        <w:numPr>
          <w:ilvl w:val="0"/>
          <w:numId w:val="8"/>
        </w:numPr>
        <w:rPr>
          <w:b/>
          <w:bCs/>
          <w:sz w:val="26"/>
          <w:szCs w:val="26"/>
        </w:rPr>
      </w:pPr>
      <w:r w:rsidRPr="00036A76">
        <w:rPr>
          <w:b/>
          <w:bCs/>
          <w:sz w:val="26"/>
          <w:szCs w:val="26"/>
        </w:rPr>
        <w:t>UPRAVLJANJE FONDOM</w:t>
      </w:r>
    </w:p>
    <w:p w:rsidR="004E262B" w:rsidRPr="00036A76" w:rsidRDefault="00527AE4" w:rsidP="003D695F">
      <w:pPr>
        <w:ind w:left="0" w:firstLine="0"/>
        <w:rPr>
          <w:bCs/>
        </w:rPr>
      </w:pPr>
      <w:r w:rsidRPr="00036A76">
        <w:rPr>
          <w:bCs/>
        </w:rPr>
        <w:t xml:space="preserve">Fondom upravlja društvo za upravljanje investicionim fondovima “Invest nova” ad Bijeljina, u  skladu sa Ugovorom o upravljanju. </w:t>
      </w:r>
    </w:p>
    <w:p w:rsidR="00527AE4" w:rsidRPr="00036A76" w:rsidRDefault="00527AE4" w:rsidP="003D695F">
      <w:pPr>
        <w:ind w:left="0" w:firstLine="0"/>
        <w:rPr>
          <w:bCs/>
        </w:rPr>
      </w:pPr>
      <w:r w:rsidRPr="00036A76">
        <w:rPr>
          <w:bCs/>
        </w:rPr>
        <w:t>Društvo za upravljanje zastupa Fond u odnosima sa drugim pravnim i fizičkim licima.</w:t>
      </w:r>
    </w:p>
    <w:p w:rsidR="00104D15" w:rsidRPr="00036A76" w:rsidRDefault="00104D15" w:rsidP="003D695F">
      <w:pPr>
        <w:ind w:left="0" w:firstLine="0"/>
        <w:rPr>
          <w:b/>
          <w:bCs/>
          <w:sz w:val="26"/>
          <w:szCs w:val="26"/>
        </w:rPr>
      </w:pPr>
    </w:p>
    <w:p w:rsidR="00E37B80" w:rsidRPr="00036A76" w:rsidRDefault="008B2CF4" w:rsidP="00F553CF">
      <w:pPr>
        <w:pStyle w:val="ListParagraph"/>
        <w:numPr>
          <w:ilvl w:val="2"/>
          <w:numId w:val="8"/>
        </w:numPr>
        <w:jc w:val="left"/>
        <w:rPr>
          <w:bCs/>
        </w:rPr>
      </w:pPr>
      <w:r w:rsidRPr="00036A76">
        <w:rPr>
          <w:bCs/>
        </w:rPr>
        <w:t>Izvršni direktori D</w:t>
      </w:r>
      <w:r w:rsidR="004E262B" w:rsidRPr="00036A76">
        <w:rPr>
          <w:bCs/>
        </w:rPr>
        <w:t>ruštva:</w:t>
      </w:r>
    </w:p>
    <w:p w:rsidR="00903EE9" w:rsidRPr="00036A76" w:rsidRDefault="00E37B80" w:rsidP="00903EE9">
      <w:pPr>
        <w:ind w:left="0" w:firstLine="0"/>
        <w:rPr>
          <w:lang w:val="sl-SI"/>
        </w:rPr>
      </w:pPr>
      <w:r w:rsidRPr="00036A76">
        <w:rPr>
          <w:b/>
          <w:i/>
        </w:rPr>
        <w:t>Stevan Radić</w:t>
      </w:r>
      <w:r w:rsidR="00E624F4" w:rsidRPr="00036A76">
        <w:t>,</w:t>
      </w:r>
      <w:r w:rsidR="00903EE9" w:rsidRPr="00036A76">
        <w:t xml:space="preserve"> izvršni direktor Društva, </w:t>
      </w:r>
      <w:r w:rsidR="00903EE9" w:rsidRPr="00036A76">
        <w:rPr>
          <w:bCs/>
          <w:lang w:val="sr-Latn-BA"/>
        </w:rPr>
        <w:t xml:space="preserve">diplomirani pravnik, trajanje mandata: od 31.03.2015. godine do 31.03.2019. godine, (saglasnost dobijena rješenjem Komisije za hartije od vrijednosti Republike Srpske, broj: 01-UP-52-230-1/15 od 24.04.2015. godine), rođen 29.10.1958. godine u Bijeljini, direktor Društva za upravljanje investicionim fondovima „Invest nova“ a.d. Bijeljina od 2001. godine, stalno nastanjen u Zvorniku, diplomu Pravnog fakulteta Univerziteta u Novom Sadu stekao 1983. godine. Radno iskustvo je sticao obavljajući pripravnički staž u organima uprave Opštine Zvornik, zatim kao sudija u Sudu za prekršaje Zvornik, obavljao je dužnosti Sekretara Opštine Zvornik, direktora preduzeća „Prerada sa hladnjačom“ a.d. Zvornik, dužnost člana Izvršnog odbora Zvornik i dužnost upravnika Carinarnice Zvornik. U posljednjih pet godina bio je član Upravnog odbora Drina Osiguranje a.d. Milići, Promet a.d. Zvornik, Ekonomik a.d. Zvornik, As a.d. Zvornik i Vitinka a.d. Kozluk, kao i član Nadzornog odbora STH Ventures DTK, Ljubljana. </w:t>
      </w:r>
      <w:r w:rsidR="00903EE9" w:rsidRPr="00036A76">
        <w:rPr>
          <w:lang w:val="sl-SI"/>
        </w:rPr>
        <w:t>Ni u jednom od navedenih emitenata nije vođen stečaj ili likvidacija u posljednjih pet godina, izuzevši Žitopromet a.d. Zvornik gdje je postupak stečeja započet u maju mjesecu 2012. godine, i još uvijek nije završen. U posljednjih pet godina imenovani nije pravosnažno osuđen za krivična djela protiv privrede. Od strane pravosudnih ili regulatornih organa nije bilo službenih optužbi ili sankcija, te u posljednjih pet godina sudskom odlukom nije isključen, niti mu je zabranjen rad u takvim organima</w:t>
      </w:r>
      <w:r w:rsidR="00104D15" w:rsidRPr="00036A76">
        <w:rPr>
          <w:lang w:val="sl-SI"/>
        </w:rPr>
        <w:t>.</w:t>
      </w:r>
    </w:p>
    <w:p w:rsidR="00104D15" w:rsidRPr="00036A76" w:rsidRDefault="00104D15" w:rsidP="00104D15">
      <w:pPr>
        <w:ind w:left="0" w:firstLine="0"/>
        <w:contextualSpacing/>
        <w:rPr>
          <w:lang w:val="sl-SI"/>
        </w:rPr>
      </w:pPr>
      <w:r w:rsidRPr="00036A76">
        <w:rPr>
          <w:b/>
          <w:i/>
        </w:rPr>
        <w:t>Petar Mitrović</w:t>
      </w:r>
      <w:r w:rsidR="009E2B99" w:rsidRPr="00036A76">
        <w:t xml:space="preserve">, </w:t>
      </w:r>
      <w:r w:rsidRPr="00036A76">
        <w:t xml:space="preserve">izvršni direktor Društva, diplomirani ekonomista, trajanje mandata od 29.07.2016. godine do 29.07.2020. godine, rođen 26.10.1954. godine u Glavičorku, Bijeljina. Visoko stručno obrazovanje diplomiranog ekonomiste stekao na Ekonomskom fakultetu, Sveučilišta u Osijeku, 1978. godine. Radno iskustvo kao šef plana i analize, društveno politički radnik i kao načelnik Opštinskog odjeljenja za prostorno uređenje, stambeno komunalne poslove i urbanizam, sticao je u organima Opštine Bijeljina. Poslove direktora obavljao je u “Bijeljina putevi” d.o.o. Bijeljina, kao i poslove zamjenika Republičkog direktora za puteve Republike Srpske. U periodu od 1999 godine do 2009. godine, u “Novoj banci a.d. Banja Luka, obavljao je poslove direktora filijale Bijeljina, odnosno poslove pomoćnika generalnog direktora. Funkciju direktora UP “Drina” a.d. Bijeljina obavlja je u period od 2009. godine do 2014. godine. Posjeduje sertifikat na temu međunarodnih računovodstvenih standarda, stečen kroz više organizovanih kurseva. </w:t>
      </w:r>
      <w:r w:rsidRPr="00036A76">
        <w:rPr>
          <w:lang w:val="sr-Latn-BA"/>
        </w:rPr>
        <w:t xml:space="preserve">Nije član Upravnih ili Nadzornih odbora u drugim emitentima i nije učestvovao u radu odbora </w:t>
      </w:r>
      <w:r w:rsidRPr="00036A76">
        <w:rPr>
          <w:lang w:val="sl-SI"/>
        </w:rPr>
        <w:t>emitenata u kojima je vođen stečaj ili likvidacija</w:t>
      </w:r>
      <w:r w:rsidRPr="00036A76">
        <w:rPr>
          <w:lang w:val="sr-Latn-BA"/>
        </w:rPr>
        <w:t xml:space="preserve"> u posljednjih pet godina</w:t>
      </w:r>
      <w:r w:rsidRPr="00036A76">
        <w:rPr>
          <w:lang w:val="sl-SI"/>
        </w:rPr>
        <w:t xml:space="preserve">. U posljednjih pet godina nije pravosnažno osuđen za krivična djela protiv privrede. Od strane pravosudnih ili regulatornih organa nije bilo službenih optužbi ili sankcija, te u posljednjih pet godina sudskom odlukom nije isključen, niti mu je zabranjen rad u takvim organima. </w:t>
      </w:r>
    </w:p>
    <w:p w:rsidR="00104D15" w:rsidRPr="00036A76" w:rsidRDefault="00104D15" w:rsidP="00903EE9">
      <w:pPr>
        <w:ind w:left="0" w:firstLine="0"/>
        <w:rPr>
          <w:lang w:val="sl-SI"/>
        </w:rPr>
      </w:pPr>
    </w:p>
    <w:p w:rsidR="00E37B80" w:rsidRPr="00036A76" w:rsidRDefault="00E37B80" w:rsidP="00527AE4">
      <w:pPr>
        <w:pStyle w:val="ListParagraph"/>
        <w:numPr>
          <w:ilvl w:val="2"/>
          <w:numId w:val="8"/>
        </w:numPr>
      </w:pPr>
      <w:r w:rsidRPr="00036A76">
        <w:t>Upravni odbor Društva</w:t>
      </w:r>
      <w:r w:rsidR="0025489E" w:rsidRPr="00036A76">
        <w:t xml:space="preserve"> </w:t>
      </w:r>
      <w:r w:rsidR="00527AE4" w:rsidRPr="00036A76">
        <w:t xml:space="preserve">za upravljanje </w:t>
      </w:r>
      <w:r w:rsidR="0025489E" w:rsidRPr="00036A76">
        <w:t>je izabran</w:t>
      </w:r>
      <w:r w:rsidRPr="00036A76">
        <w:t xml:space="preserve"> </w:t>
      </w:r>
      <w:r w:rsidR="00527AE4" w:rsidRPr="00036A76">
        <w:t xml:space="preserve">na Skupštini akcionara Društva dana </w:t>
      </w:r>
      <w:r w:rsidR="00776EC0" w:rsidRPr="00036A76">
        <w:t>24.04.2017</w:t>
      </w:r>
      <w:r w:rsidRPr="00036A76">
        <w:t>.</w:t>
      </w:r>
      <w:r w:rsidR="00CE7648" w:rsidRPr="00036A76">
        <w:t>g</w:t>
      </w:r>
      <w:r w:rsidRPr="00036A76">
        <w:t>odine</w:t>
      </w:r>
      <w:r w:rsidR="00527AE4" w:rsidRPr="00036A76">
        <w:t>,</w:t>
      </w:r>
      <w:r w:rsidR="00776EC0" w:rsidRPr="00036A76">
        <w:t xml:space="preserve"> </w:t>
      </w:r>
      <w:r w:rsidR="00A96AD2" w:rsidRPr="00036A76">
        <w:t>na</w:t>
      </w:r>
      <w:r w:rsidR="009B30C7" w:rsidRPr="00036A76">
        <w:t xml:space="preserve"> mandatni</w:t>
      </w:r>
      <w:r w:rsidR="00A96AD2" w:rsidRPr="00036A76">
        <w:t xml:space="preserve"> period od 4</w:t>
      </w:r>
      <w:r w:rsidRPr="00036A76">
        <w:t xml:space="preserve"> godine</w:t>
      </w:r>
      <w:r w:rsidR="00527AE4" w:rsidRPr="00036A76">
        <w:t>,</w:t>
      </w:r>
      <w:r w:rsidR="00A96AD2" w:rsidRPr="00036A76">
        <w:t xml:space="preserve"> u sljedećem sastavu:</w:t>
      </w:r>
    </w:p>
    <w:p w:rsidR="00CE7648" w:rsidRPr="00036A76" w:rsidRDefault="00CE7648" w:rsidP="00104D15">
      <w:pPr>
        <w:ind w:left="0" w:firstLine="0"/>
        <w:contextualSpacing/>
      </w:pPr>
    </w:p>
    <w:p w:rsidR="00C50122" w:rsidRPr="00036A76" w:rsidRDefault="00927EF6" w:rsidP="00927EF6">
      <w:pPr>
        <w:ind w:left="0"/>
        <w:rPr>
          <w:lang w:val="sl-SI"/>
        </w:rPr>
      </w:pPr>
      <w:r w:rsidRPr="00036A76">
        <w:rPr>
          <w:b/>
          <w:i/>
          <w:lang w:val="sl-SI"/>
        </w:rPr>
        <w:t xml:space="preserve">      </w:t>
      </w:r>
      <w:r w:rsidR="00C50122" w:rsidRPr="00036A76">
        <w:rPr>
          <w:b/>
          <w:i/>
          <w:lang w:val="sl-SI"/>
        </w:rPr>
        <w:t>Srđan Stanojević</w:t>
      </w:r>
      <w:r w:rsidR="00C50122" w:rsidRPr="00036A76">
        <w:rPr>
          <w:b/>
        </w:rPr>
        <w:t>,</w:t>
      </w:r>
      <w:r w:rsidR="00C50122" w:rsidRPr="00036A76">
        <w:t xml:space="preserve"> </w:t>
      </w:r>
      <w:r w:rsidR="00C50122" w:rsidRPr="00036A76">
        <w:rPr>
          <w:bCs/>
          <w:lang w:val="sr-Latn-BA"/>
        </w:rPr>
        <w:t xml:space="preserve">predsjednik Upravnog odbora Društva za upravljanje, </w:t>
      </w:r>
      <w:r w:rsidR="00751770" w:rsidRPr="00036A76">
        <w:rPr>
          <w:bCs/>
          <w:lang w:val="sr-Latn-BA"/>
        </w:rPr>
        <w:t xml:space="preserve">izabraan na Skupšitini Fonda dana 24.04.2017. godine na mandatni period od četiri godine, </w:t>
      </w:r>
      <w:r w:rsidR="00C50122" w:rsidRPr="00036A76">
        <w:rPr>
          <w:bCs/>
          <w:lang w:val="sr-Latn-BA"/>
        </w:rPr>
        <w:t>rođen 20.06.1980. godine u Bijeljini gdje je i stalno nastanjen, završio je Fakultet tehničkih nauka Univerziteta u Novom Sadu, po zanimanju je diplomirani inženjer menadžmenta – master, zaposlen je u „Nova banka“ ad Banja Luka, Filijala Bijeljina, počev od 1.08.2007. godine do danas, obavlja dužnost direktora Filijale banke, počev od 1.11.2011. godine bez prekida, pored završenog fakulteta i mastera posjeduje zvanje specijaliste kontrolinga i interne revizije, nije akcionar društva za upravljanje investicionim fondovima „Invest nova“ ad Bijeljina, niti je akcionar ili član uprave drugog društva za upravljanje investicionim fondovima sa sjedištem u Republici Srpskoj, i nije povezan sa društvom za upravljanje i sa investicionim fondovima kojima upravlja društvo.</w:t>
      </w:r>
      <w:r w:rsidR="00C50122" w:rsidRPr="00036A76">
        <w:t xml:space="preserve"> </w:t>
      </w:r>
      <w:r w:rsidR="00C50122" w:rsidRPr="00036A76">
        <w:rPr>
          <w:bCs/>
          <w:lang w:val="sr-Latn-BA"/>
        </w:rPr>
        <w:t>U</w:t>
      </w:r>
      <w:r w:rsidR="00C50122" w:rsidRPr="00036A76">
        <w:rPr>
          <w:lang w:val="sl-SI"/>
        </w:rPr>
        <w:t xml:space="preserve"> posljednjih pet godina nije pravosnažno osuđen za krivična djela protiv privrede koja su pripisana Zakonom o tržištu hartija od vrijednosti i Zakonom o investicionim fondovima, kažnjen novčanom kaznom za prekršaj propisan članom 274. Zakona o tržištu hartija od vrijednosti u 2016. godini. </w:t>
      </w:r>
    </w:p>
    <w:p w:rsidR="00927EF6" w:rsidRPr="00036A76" w:rsidRDefault="00927EF6" w:rsidP="00927EF6">
      <w:pPr>
        <w:ind w:left="0" w:firstLine="0"/>
        <w:rPr>
          <w:lang w:val="sl-SI"/>
        </w:rPr>
      </w:pPr>
    </w:p>
    <w:p w:rsidR="00927EF6" w:rsidRPr="00036A76" w:rsidRDefault="00927EF6" w:rsidP="00927EF6">
      <w:pPr>
        <w:contextualSpacing/>
        <w:rPr>
          <w:lang w:val="sl-SI"/>
        </w:rPr>
      </w:pPr>
    </w:p>
    <w:p w:rsidR="00927EF6" w:rsidRPr="00036A76" w:rsidRDefault="00927EF6" w:rsidP="00927EF6">
      <w:pPr>
        <w:ind w:left="90" w:firstLine="0"/>
        <w:rPr>
          <w:lang w:val="sl-SI"/>
        </w:rPr>
      </w:pPr>
      <w:r w:rsidRPr="00036A76">
        <w:rPr>
          <w:b/>
          <w:bCs/>
          <w:i/>
          <w:lang w:val="sr-Latn-BA"/>
        </w:rPr>
        <w:t>Željko Šupić,</w:t>
      </w:r>
      <w:r w:rsidRPr="00036A76">
        <w:rPr>
          <w:b/>
          <w:bCs/>
          <w:lang w:val="sr-Latn-BA"/>
        </w:rPr>
        <w:t xml:space="preserve"> </w:t>
      </w:r>
      <w:r w:rsidRPr="00036A76">
        <w:t>član Upravnog o</w:t>
      </w:r>
      <w:r w:rsidR="009B30C7" w:rsidRPr="00036A76">
        <w:t xml:space="preserve">dbora Društva, </w:t>
      </w:r>
      <w:r w:rsidR="00751770" w:rsidRPr="00036A76">
        <w:rPr>
          <w:bCs/>
          <w:lang w:val="sr-Latn-BA"/>
        </w:rPr>
        <w:t>izabraan na Skupšitini Fonda dana 24.04.2017. godine na mandatni period od četiri godine,</w:t>
      </w:r>
      <w:r w:rsidR="00751770" w:rsidRPr="00036A76">
        <w:t xml:space="preserve"> </w:t>
      </w:r>
      <w:r w:rsidRPr="00036A76">
        <w:t xml:space="preserve">rođen 25.01.1974. godine u Trebinju, gdje je I stalno nastanjen, po zanimanju diplomirani ekonomista. Završio je  Ekonomski fakultet Univerziteta Crne Gore 10.10.1998. godine u Podgorici. Zaposlen je u ,,Komercijalnoj banci’’ ad Banja Luka, Filijala Trebinje, od 01.10.2010. godine I obavlja dužnost direktora Filijale Banke.  Ima 18 godina radnog iskustva u bankarskom sektoru. Radio je na poslovima: stručni saradnik za kredite pravnih lica Filijala Trebinje, Kristal banka ad Banjaluka, </w:t>
      </w:r>
      <w:r w:rsidRPr="00036A76">
        <w:rPr>
          <w:lang w:val="hr-HR"/>
        </w:rPr>
        <w:t xml:space="preserve">Viši stručni saradnik za kredite pravnih lica Filijala Trebinje, Hypo Alpe-Adria-Bank ad, voditelj pododjela korporativnog bankarstva Filijale Trebinje, Hypo Alpe-Adria-Bank ad Banjaluka, </w:t>
      </w:r>
      <w:r w:rsidRPr="00036A76">
        <w:rPr>
          <w:bCs/>
          <w:lang w:val="sr-Latn-BA"/>
        </w:rPr>
        <w:t>nije akcionar društva za upravljanje investicionim fondovima „Invest nova“ ad Bijeljina, niti je akcionar ili član uprave drugog društva za upravljanje investicionim fondovima sa sjedištem u Republici Srpskoj, i nije povezan sa društvom za upravljanje i sa investicionim fondovima kojima upravlja društvo. U</w:t>
      </w:r>
      <w:r w:rsidRPr="00036A76">
        <w:rPr>
          <w:lang w:val="sl-SI"/>
        </w:rPr>
        <w:t xml:space="preserve"> posljednjih pet godina nije pravosnažno osuđen za krivična djela protiv privrede koja su pripisana Zakonom o tržištu hartija od vrijednosti i Zakonom o investicionim fondovima, kažnjen novčanom kaznom za prekršaj propisan članom 274. Zakona o tržištu hartija od vrijednosti u 2016. godini. </w:t>
      </w:r>
    </w:p>
    <w:p w:rsidR="00BD70EA" w:rsidRPr="00036A76" w:rsidRDefault="00BD70EA" w:rsidP="00C50122">
      <w:pPr>
        <w:ind w:left="0" w:firstLine="0"/>
        <w:rPr>
          <w:b/>
          <w:i/>
          <w:lang w:val="sl-SI"/>
        </w:rPr>
      </w:pPr>
    </w:p>
    <w:p w:rsidR="00E37B80" w:rsidRPr="00036A76" w:rsidRDefault="00655E46" w:rsidP="003C2078">
      <w:pPr>
        <w:ind w:left="0" w:firstLine="0"/>
        <w:rPr>
          <w:lang w:val="sl-SI"/>
        </w:rPr>
      </w:pPr>
      <w:r w:rsidRPr="00036A76">
        <w:rPr>
          <w:b/>
          <w:i/>
        </w:rPr>
        <w:t>Stevan Radić</w:t>
      </w:r>
      <w:r w:rsidRPr="00036A76">
        <w:t>,</w:t>
      </w:r>
      <w:r w:rsidR="00903EE9" w:rsidRPr="00036A76">
        <w:t xml:space="preserve"> član Upravnog odbora Društva, </w:t>
      </w:r>
      <w:r w:rsidR="00751770" w:rsidRPr="00036A76">
        <w:rPr>
          <w:bCs/>
          <w:lang w:val="sr-Latn-BA"/>
        </w:rPr>
        <w:t>izabraan na Skupšitini Fonda dana 24.04.2017. godine na mandatni period od četiri godine,</w:t>
      </w:r>
      <w:r w:rsidR="00927EF6" w:rsidRPr="00036A76">
        <w:rPr>
          <w:bCs/>
          <w:lang w:val="sr-Latn-BA"/>
        </w:rPr>
        <w:t>diplomi pravnik,</w:t>
      </w:r>
      <w:r w:rsidR="00903EE9" w:rsidRPr="00036A76">
        <w:rPr>
          <w:bCs/>
          <w:lang w:val="sr-Latn-BA"/>
        </w:rPr>
        <w:t xml:space="preserve"> rođen 29.10.1958. godine u Bijeljini, stalno nastanjen u Zvorniku, diplomu Pravnog fakulteta Univerziteta u Novom Sadu stekao 1983. godine. Radno iskustvo je sticao obavljajući pripravnički staž u organima uprave Opštine Zvornik, zatim kao sudija u Sudu za prekršaje Zvornik, obavljao je dužnosti Sekretara Opštine Zvornik, direktora preduzeća „Prerada sa hladnjačom“ a.d. Zvornik, dužnost člana Izvršnog odbora Zvornik i dužnost upravnika Carinarnice Zvornik. Direktor je Društva za upravljanje investicionim fondovima „Invest nova“ a.d. Bijeljina od 2001. godine. U posljednjih pet godina bio je član Upravnog odbora Drina Osiguranje a.d. Milići, Promet a.d. Zvornik, Ekonomik a.d. Zvornik, As a.d. Zvornik i Vitinka a.d. Kozluk, kao i član Nadzornog odbora STH Ventures DTK, Ljubljana. </w:t>
      </w:r>
      <w:r w:rsidR="00903EE9" w:rsidRPr="00036A76">
        <w:rPr>
          <w:lang w:val="sl-SI"/>
        </w:rPr>
        <w:t xml:space="preserve">Ni u jednom od navedenih emitenata nije vođen stečaj ili likvidacija u posljednjih pet godina, izuzevši Žitopromet a.d. Zvornik gdje je postupak stečeja započet u maju mjesecu 2012. godine, i isti još uvijek nije završen. U posljednjih pet godina </w:t>
      </w:r>
      <w:r w:rsidR="00903EE9" w:rsidRPr="00036A76">
        <w:rPr>
          <w:lang w:val="sl-SI"/>
        </w:rPr>
        <w:lastRenderedPageBreak/>
        <w:t>imenovani nije pravosnažno osuđen za krivična djela protiv privrede. Od strane pravosudnih ili regulatornih organa nije bilo službenih optužbi ili sankcija, te u posljednjih pet godina sudskom odlukom nije isključen, niti mu je zabranjen rad u takvim organima</w:t>
      </w:r>
      <w:r w:rsidR="00104D15" w:rsidRPr="00036A76">
        <w:rPr>
          <w:lang w:val="sl-SI"/>
        </w:rPr>
        <w:t>.</w:t>
      </w:r>
    </w:p>
    <w:p w:rsidR="003C2078" w:rsidRPr="00036A76" w:rsidRDefault="003C2078" w:rsidP="00687A57">
      <w:pPr>
        <w:ind w:left="0" w:firstLine="0"/>
        <w:rPr>
          <w:lang w:val="sl-SI"/>
        </w:rPr>
      </w:pPr>
    </w:p>
    <w:p w:rsidR="003D695F" w:rsidRPr="00036A76" w:rsidRDefault="00E37B80" w:rsidP="00C36F62">
      <w:pPr>
        <w:ind w:left="0" w:firstLine="0"/>
        <w:contextualSpacing/>
        <w:rPr>
          <w:bCs/>
        </w:rPr>
      </w:pPr>
      <w:r w:rsidRPr="00036A76">
        <w:rPr>
          <w:bCs/>
        </w:rPr>
        <w:t>Izjavljujemo da ne postoji sukob interesa upravnih, rukovode</w:t>
      </w:r>
      <w:r w:rsidR="00C36F62" w:rsidRPr="00036A76">
        <w:rPr>
          <w:bCs/>
        </w:rPr>
        <w:t xml:space="preserve">ćih i nadzornih organa i višeg </w:t>
      </w:r>
      <w:r w:rsidRPr="00036A76">
        <w:rPr>
          <w:bCs/>
        </w:rPr>
        <w:t>rukovodstva.</w:t>
      </w:r>
      <w:r w:rsidR="003D695F" w:rsidRPr="00036A76">
        <w:rPr>
          <w:bCs/>
        </w:rPr>
        <w:t xml:space="preserve"> </w:t>
      </w:r>
    </w:p>
    <w:p w:rsidR="00C36F62" w:rsidRPr="00036A76" w:rsidRDefault="00E37B80" w:rsidP="00C36F62">
      <w:pPr>
        <w:ind w:left="0" w:firstLine="0"/>
        <w:contextualSpacing/>
        <w:rPr>
          <w:bCs/>
        </w:rPr>
      </w:pPr>
      <w:r w:rsidRPr="00036A76">
        <w:rPr>
          <w:bCs/>
        </w:rPr>
        <w:t>Izjavljujemo da ne postoji potencijalni sukob interesa gore navedenih lica i to u pogledu njihovih ličnih interesa i njihovih obaveza i dužnosti prema Fondu.</w:t>
      </w:r>
    </w:p>
    <w:p w:rsidR="00E37B80" w:rsidRPr="00036A76" w:rsidRDefault="00E37B80" w:rsidP="00C36F62">
      <w:pPr>
        <w:ind w:left="0" w:firstLine="0"/>
        <w:contextualSpacing/>
        <w:rPr>
          <w:bCs/>
        </w:rPr>
      </w:pPr>
      <w:r w:rsidRPr="00036A76">
        <w:rPr>
          <w:bCs/>
        </w:rPr>
        <w:t>Ne postoje sporazumi niti dogovori sa najvećim akcionarima, klij</w:t>
      </w:r>
      <w:r w:rsidR="00C36F62" w:rsidRPr="00036A76">
        <w:rPr>
          <w:bCs/>
        </w:rPr>
        <w:t xml:space="preserve">entima, dobavljačima ili drugim </w:t>
      </w:r>
      <w:r w:rsidRPr="00036A76">
        <w:rPr>
          <w:bCs/>
        </w:rPr>
        <w:t xml:space="preserve">licima na osnovu kojih je bilo koje gore navedeno lice izabrano za </w:t>
      </w:r>
      <w:r w:rsidR="00C36F62" w:rsidRPr="00036A76">
        <w:rPr>
          <w:bCs/>
        </w:rPr>
        <w:t xml:space="preserve">člana upravnih, rukovodećih ili </w:t>
      </w:r>
      <w:r w:rsidRPr="00036A76">
        <w:rPr>
          <w:bCs/>
        </w:rPr>
        <w:t>nadzornih organa ili člana višeg rukovodstva.</w:t>
      </w:r>
    </w:p>
    <w:p w:rsidR="009E2B99" w:rsidRPr="00036A76" w:rsidRDefault="009E2B99" w:rsidP="009E2B99">
      <w:pPr>
        <w:ind w:left="0" w:firstLine="0"/>
        <w:contextualSpacing/>
        <w:jc w:val="left"/>
      </w:pPr>
      <w:r w:rsidRPr="00036A76">
        <w:t xml:space="preserve">Između navedenih lica ne postoji rodbinska povezanost. </w:t>
      </w:r>
    </w:p>
    <w:p w:rsidR="00E37B80" w:rsidRPr="00036A76" w:rsidRDefault="00E37B80" w:rsidP="009E2B99">
      <w:pPr>
        <w:ind w:left="0" w:firstLine="0"/>
        <w:contextualSpacing/>
        <w:rPr>
          <w:b/>
          <w:bCs/>
          <w:sz w:val="26"/>
          <w:szCs w:val="26"/>
        </w:rPr>
      </w:pPr>
    </w:p>
    <w:p w:rsidR="00C36F62" w:rsidRPr="00036A76" w:rsidRDefault="00C36F62" w:rsidP="00F553CF">
      <w:pPr>
        <w:pStyle w:val="ListParagraph"/>
        <w:numPr>
          <w:ilvl w:val="0"/>
          <w:numId w:val="8"/>
        </w:numPr>
        <w:rPr>
          <w:b/>
          <w:bCs/>
        </w:rPr>
      </w:pPr>
      <w:r w:rsidRPr="00036A76">
        <w:rPr>
          <w:b/>
          <w:bCs/>
        </w:rPr>
        <w:t>LIČNA PRIMANJA I POGODNOSTI</w:t>
      </w:r>
    </w:p>
    <w:p w:rsidR="00C36F62" w:rsidRPr="00036A76" w:rsidRDefault="007E0ECA" w:rsidP="00927EF6">
      <w:pPr>
        <w:ind w:left="0" w:firstLine="0"/>
        <w:contextualSpacing/>
        <w:rPr>
          <w:bCs/>
        </w:rPr>
      </w:pPr>
      <w:r w:rsidRPr="00036A76">
        <w:rPr>
          <w:bCs/>
        </w:rPr>
        <w:t xml:space="preserve">Skupština </w:t>
      </w:r>
      <w:r w:rsidR="00C215B2" w:rsidRPr="00036A76">
        <w:rPr>
          <w:bCs/>
        </w:rPr>
        <w:t>Fonda</w:t>
      </w:r>
      <w:r w:rsidR="009E7908" w:rsidRPr="00036A76">
        <w:rPr>
          <w:bCs/>
        </w:rPr>
        <w:t xml:space="preserve"> </w:t>
      </w:r>
      <w:r w:rsidR="00C36F62" w:rsidRPr="00036A76">
        <w:rPr>
          <w:bCs/>
        </w:rPr>
        <w:t>je na s</w:t>
      </w:r>
      <w:r w:rsidR="009E7908" w:rsidRPr="00036A76">
        <w:rPr>
          <w:bCs/>
        </w:rPr>
        <w:t xml:space="preserve">jednici održanoj dana </w:t>
      </w:r>
      <w:r w:rsidR="00A542AF" w:rsidRPr="00036A76">
        <w:rPr>
          <w:bCs/>
        </w:rPr>
        <w:t>0</w:t>
      </w:r>
      <w:r w:rsidR="009E72B3" w:rsidRPr="00036A76">
        <w:rPr>
          <w:bCs/>
        </w:rPr>
        <w:t>4</w:t>
      </w:r>
      <w:r w:rsidR="00A542AF" w:rsidRPr="00036A76">
        <w:rPr>
          <w:bCs/>
        </w:rPr>
        <w:t>.</w:t>
      </w:r>
      <w:r w:rsidR="009E7908" w:rsidRPr="00036A76">
        <w:rPr>
          <w:bCs/>
        </w:rPr>
        <w:t>4.201</w:t>
      </w:r>
      <w:r w:rsidR="00A542AF" w:rsidRPr="00036A76">
        <w:rPr>
          <w:bCs/>
        </w:rPr>
        <w:t>6</w:t>
      </w:r>
      <w:r w:rsidR="00C36F62" w:rsidRPr="00036A76">
        <w:rPr>
          <w:bCs/>
        </w:rPr>
        <w:t>. godine donijela Odluku o visini mjesečne naknade predsjedniku i članovima Nadzornog odbora Fonda u sljedećim iznosima:</w:t>
      </w:r>
    </w:p>
    <w:p w:rsidR="00C36F62" w:rsidRPr="00036A76" w:rsidRDefault="00C36F62" w:rsidP="00927EF6">
      <w:pPr>
        <w:ind w:left="0" w:firstLine="0"/>
        <w:rPr>
          <w:bCs/>
        </w:rPr>
      </w:pPr>
      <w:r w:rsidRPr="00036A76">
        <w:rPr>
          <w:bCs/>
        </w:rPr>
        <w:t>Predsjednik Nadzornog odbora – 300,00 KM</w:t>
      </w:r>
      <w:r w:rsidR="003D695F" w:rsidRPr="00036A76">
        <w:rPr>
          <w:bCs/>
        </w:rPr>
        <w:t>,</w:t>
      </w:r>
    </w:p>
    <w:p w:rsidR="00C36F62" w:rsidRPr="00036A76" w:rsidRDefault="00C36F62" w:rsidP="003D695F">
      <w:pPr>
        <w:ind w:left="0" w:firstLine="0"/>
        <w:rPr>
          <w:bCs/>
        </w:rPr>
      </w:pPr>
      <w:r w:rsidRPr="00036A76">
        <w:rPr>
          <w:bCs/>
        </w:rPr>
        <w:t>Članovi Nadzornog odbora – 200,00 KM</w:t>
      </w:r>
      <w:r w:rsidR="003D695F" w:rsidRPr="00036A76">
        <w:rPr>
          <w:bCs/>
        </w:rPr>
        <w:t>.</w:t>
      </w:r>
    </w:p>
    <w:p w:rsidR="00C36F62" w:rsidRPr="00036A76" w:rsidRDefault="00C36F62" w:rsidP="00C36F62">
      <w:pPr>
        <w:ind w:left="0" w:firstLine="0"/>
        <w:contextualSpacing/>
        <w:rPr>
          <w:b/>
          <w:bCs/>
          <w:sz w:val="26"/>
          <w:szCs w:val="26"/>
        </w:rPr>
      </w:pPr>
    </w:p>
    <w:p w:rsidR="00C36F62" w:rsidRPr="00036A76" w:rsidRDefault="00C36F62" w:rsidP="00F553CF">
      <w:pPr>
        <w:pStyle w:val="ListParagraph"/>
        <w:numPr>
          <w:ilvl w:val="0"/>
          <w:numId w:val="8"/>
        </w:numPr>
        <w:rPr>
          <w:b/>
          <w:bCs/>
          <w:sz w:val="26"/>
          <w:szCs w:val="26"/>
        </w:rPr>
      </w:pPr>
      <w:r w:rsidRPr="00036A76">
        <w:rPr>
          <w:b/>
          <w:bCs/>
          <w:sz w:val="26"/>
          <w:szCs w:val="26"/>
        </w:rPr>
        <w:t>PRAKSA UPRAVE</w:t>
      </w:r>
    </w:p>
    <w:p w:rsidR="00C36F62" w:rsidRPr="00036A76" w:rsidRDefault="003D695F" w:rsidP="00C36F62">
      <w:pPr>
        <w:ind w:left="0" w:firstLine="0"/>
        <w:contextualSpacing/>
      </w:pPr>
      <w:r w:rsidRPr="00036A76">
        <w:t>Izvršni d</w:t>
      </w:r>
      <w:r w:rsidR="00C36F62" w:rsidRPr="00036A76">
        <w:t>irektor Društva</w:t>
      </w:r>
      <w:r w:rsidRPr="00036A76">
        <w:t>,</w:t>
      </w:r>
      <w:r w:rsidR="00C36F62" w:rsidRPr="00036A76">
        <w:t xml:space="preserve"> </w:t>
      </w:r>
      <w:r w:rsidR="00D473AB" w:rsidRPr="00036A76">
        <w:t>Stevan Radić, imenovan je 31</w:t>
      </w:r>
      <w:r w:rsidR="00C36F62" w:rsidRPr="00036A76">
        <w:t>.0</w:t>
      </w:r>
      <w:r w:rsidR="00D473AB" w:rsidRPr="00036A76">
        <w:t>3</w:t>
      </w:r>
      <w:r w:rsidR="00C36F62" w:rsidRPr="00036A76">
        <w:t>.20</w:t>
      </w:r>
      <w:r w:rsidR="00D473AB" w:rsidRPr="00036A76">
        <w:t>15</w:t>
      </w:r>
      <w:r w:rsidR="00C36F62" w:rsidRPr="00036A76">
        <w:t>. godine - mandat 4 godine</w:t>
      </w:r>
      <w:r w:rsidR="00697984" w:rsidRPr="00036A76">
        <w:t>.</w:t>
      </w:r>
    </w:p>
    <w:p w:rsidR="00457429" w:rsidRPr="00036A76" w:rsidRDefault="00457429" w:rsidP="00C36F62">
      <w:pPr>
        <w:ind w:left="0" w:firstLine="0"/>
        <w:contextualSpacing/>
      </w:pPr>
      <w:r w:rsidRPr="00036A76">
        <w:t>Izvršni direktor Društva, Petar Mitrović, imenovan 29.07.2016. godine – mandat 4 godine.</w:t>
      </w:r>
    </w:p>
    <w:p w:rsidR="00C36F62" w:rsidRPr="00036A76" w:rsidRDefault="00C36F62" w:rsidP="00C36F62">
      <w:pPr>
        <w:ind w:left="0" w:firstLine="0"/>
        <w:contextualSpacing/>
      </w:pPr>
      <w:r w:rsidRPr="00036A76">
        <w:t>Upr</w:t>
      </w:r>
      <w:r w:rsidR="00C6689D" w:rsidRPr="00036A76">
        <w:t>avni odbor Društva izabran</w:t>
      </w:r>
      <w:r w:rsidR="001D164A" w:rsidRPr="00036A76">
        <w:t xml:space="preserve"> je 24.04.2017</w:t>
      </w:r>
      <w:r w:rsidRPr="00036A76">
        <w:t>. godine i mandat je 4 godine</w:t>
      </w:r>
      <w:r w:rsidR="0086231D" w:rsidRPr="00036A76">
        <w:t>.</w:t>
      </w:r>
      <w:r w:rsidR="003D695F" w:rsidRPr="00036A76">
        <w:t xml:space="preserve">  </w:t>
      </w:r>
    </w:p>
    <w:p w:rsidR="00C36F62" w:rsidRPr="00036A76" w:rsidRDefault="00124632" w:rsidP="00F553CF">
      <w:pPr>
        <w:pStyle w:val="ListParagraph"/>
        <w:numPr>
          <w:ilvl w:val="0"/>
          <w:numId w:val="7"/>
        </w:numPr>
      </w:pPr>
      <w:r w:rsidRPr="00036A76">
        <w:t>Srđ</w:t>
      </w:r>
      <w:r w:rsidR="0055351D" w:rsidRPr="00036A76">
        <w:t>an Stanojević</w:t>
      </w:r>
      <w:r w:rsidR="00C36F62" w:rsidRPr="00036A76">
        <w:t xml:space="preserve"> </w:t>
      </w:r>
      <w:r w:rsidR="00697984" w:rsidRPr="00036A76">
        <w:t>–</w:t>
      </w:r>
      <w:r w:rsidR="00C36F62" w:rsidRPr="00036A76">
        <w:t xml:space="preserve"> predsjednik</w:t>
      </w:r>
      <w:r w:rsidR="00697984" w:rsidRPr="00036A76">
        <w:t>,</w:t>
      </w:r>
      <w:r w:rsidR="00C36F62" w:rsidRPr="00036A76">
        <w:t xml:space="preserve">          </w:t>
      </w:r>
    </w:p>
    <w:p w:rsidR="00C36F62" w:rsidRPr="00036A76" w:rsidRDefault="0055351D" w:rsidP="00F553CF">
      <w:pPr>
        <w:pStyle w:val="ListParagraph"/>
        <w:numPr>
          <w:ilvl w:val="0"/>
          <w:numId w:val="7"/>
        </w:numPr>
      </w:pPr>
      <w:r w:rsidRPr="00036A76">
        <w:t>Željko Šupić</w:t>
      </w:r>
      <w:r w:rsidR="00C36F62" w:rsidRPr="00036A76">
        <w:t xml:space="preserve"> </w:t>
      </w:r>
      <w:r w:rsidR="003D695F" w:rsidRPr="00036A76">
        <w:t>–</w:t>
      </w:r>
      <w:r w:rsidR="00C36F62" w:rsidRPr="00036A76">
        <w:t xml:space="preserve"> član</w:t>
      </w:r>
      <w:r w:rsidR="00697984" w:rsidRPr="00036A76">
        <w:t>,</w:t>
      </w:r>
    </w:p>
    <w:p w:rsidR="003D695F" w:rsidRPr="00036A76" w:rsidRDefault="003D695F" w:rsidP="00F553CF">
      <w:pPr>
        <w:pStyle w:val="ListParagraph"/>
        <w:numPr>
          <w:ilvl w:val="0"/>
          <w:numId w:val="7"/>
        </w:numPr>
      </w:pPr>
      <w:r w:rsidRPr="00036A76">
        <w:t xml:space="preserve">Stevan Radić </w:t>
      </w:r>
      <w:r w:rsidR="00697984" w:rsidRPr="00036A76">
        <w:t>–</w:t>
      </w:r>
      <w:r w:rsidRPr="00036A76">
        <w:t xml:space="preserve"> član</w:t>
      </w:r>
      <w:r w:rsidR="00697984" w:rsidRPr="00036A76">
        <w:t>,</w:t>
      </w:r>
    </w:p>
    <w:p w:rsidR="00D473AB" w:rsidRPr="00036A76" w:rsidRDefault="00E624F4" w:rsidP="00044856">
      <w:pPr>
        <w:ind w:left="0" w:firstLine="0"/>
        <w:contextualSpacing/>
      </w:pPr>
      <w:r w:rsidRPr="00036A76">
        <w:t>Na</w:t>
      </w:r>
      <w:r w:rsidR="00C6689D" w:rsidRPr="00036A76">
        <w:t>dzorni odbor Fonda izabran</w:t>
      </w:r>
      <w:r w:rsidRPr="00036A76">
        <w:t xml:space="preserve"> je </w:t>
      </w:r>
      <w:r w:rsidR="007E0ECA" w:rsidRPr="00036A76">
        <w:t xml:space="preserve">na Skupštini </w:t>
      </w:r>
      <w:r w:rsidR="003D695F" w:rsidRPr="00036A76">
        <w:t xml:space="preserve">Fonda, dana </w:t>
      </w:r>
      <w:r w:rsidRPr="00036A76">
        <w:t xml:space="preserve">11.05.2015. </w:t>
      </w:r>
      <w:r w:rsidR="004217C0" w:rsidRPr="00036A76">
        <w:t>godine i mandat je 4 godine</w:t>
      </w:r>
      <w:r w:rsidR="003D695F" w:rsidRPr="00036A76">
        <w:t>, odnosno 06.04.2016. godine za nova tri člana.</w:t>
      </w:r>
    </w:p>
    <w:p w:rsidR="00E624F4" w:rsidRPr="00036A76" w:rsidRDefault="00E624F4" w:rsidP="00F553CF">
      <w:pPr>
        <w:pStyle w:val="ListParagraph"/>
        <w:numPr>
          <w:ilvl w:val="0"/>
          <w:numId w:val="7"/>
        </w:numPr>
        <w:jc w:val="left"/>
      </w:pPr>
      <w:r w:rsidRPr="00036A76">
        <w:t>Darjo Pungartnik – predsjednik</w:t>
      </w:r>
      <w:r w:rsidR="00697984" w:rsidRPr="00036A76">
        <w:t>,</w:t>
      </w:r>
    </w:p>
    <w:p w:rsidR="00E624F4" w:rsidRPr="00036A76" w:rsidRDefault="00E624F4" w:rsidP="00F553CF">
      <w:pPr>
        <w:pStyle w:val="ListParagraph"/>
        <w:numPr>
          <w:ilvl w:val="0"/>
          <w:numId w:val="7"/>
        </w:numPr>
        <w:jc w:val="left"/>
      </w:pPr>
      <w:r w:rsidRPr="00036A76">
        <w:t>Petar Dragičević – član</w:t>
      </w:r>
      <w:r w:rsidR="00697984" w:rsidRPr="00036A76">
        <w:t>,</w:t>
      </w:r>
    </w:p>
    <w:p w:rsidR="003D695F" w:rsidRPr="00036A76" w:rsidRDefault="003D695F" w:rsidP="00F553CF">
      <w:pPr>
        <w:pStyle w:val="ListParagraph"/>
        <w:numPr>
          <w:ilvl w:val="0"/>
          <w:numId w:val="7"/>
        </w:numPr>
        <w:jc w:val="left"/>
      </w:pPr>
      <w:r w:rsidRPr="00036A76">
        <w:t>Miladin Vidić</w:t>
      </w:r>
      <w:r w:rsidR="00697984" w:rsidRPr="00036A76">
        <w:t xml:space="preserve"> – član,</w:t>
      </w:r>
    </w:p>
    <w:p w:rsidR="003D695F" w:rsidRPr="00036A76" w:rsidRDefault="003D695F" w:rsidP="00F553CF">
      <w:pPr>
        <w:pStyle w:val="ListParagraph"/>
        <w:numPr>
          <w:ilvl w:val="0"/>
          <w:numId w:val="7"/>
        </w:numPr>
        <w:jc w:val="left"/>
      </w:pPr>
      <w:r w:rsidRPr="00036A76">
        <w:t>Biljana Čepujnoska Sekulić</w:t>
      </w:r>
      <w:r w:rsidR="00697984" w:rsidRPr="00036A76">
        <w:t xml:space="preserve"> - član</w:t>
      </w:r>
      <w:r w:rsidRPr="00036A76">
        <w:t>,</w:t>
      </w:r>
    </w:p>
    <w:p w:rsidR="003D695F" w:rsidRPr="00036A76" w:rsidRDefault="003D695F" w:rsidP="00F553CF">
      <w:pPr>
        <w:pStyle w:val="ListParagraph"/>
        <w:numPr>
          <w:ilvl w:val="0"/>
          <w:numId w:val="7"/>
        </w:numPr>
        <w:jc w:val="left"/>
      </w:pPr>
      <w:r w:rsidRPr="00036A76">
        <w:t>Cvijeta Cacanović</w:t>
      </w:r>
      <w:r w:rsidR="00697984" w:rsidRPr="00036A76">
        <w:t xml:space="preserve"> - član.</w:t>
      </w:r>
    </w:p>
    <w:p w:rsidR="00E37529" w:rsidRPr="00036A76" w:rsidRDefault="00E37529" w:rsidP="00E37529">
      <w:pPr>
        <w:ind w:left="0" w:firstLine="0"/>
        <w:contextualSpacing/>
        <w:rPr>
          <w:bCs/>
        </w:rPr>
      </w:pPr>
      <w:r w:rsidRPr="00036A76">
        <w:rPr>
          <w:bCs/>
        </w:rPr>
        <w:t>Izjavljujemo da članovi upravnih, rukovodećih i nadzornih organa n</w:t>
      </w:r>
      <w:r w:rsidR="00A542AF" w:rsidRPr="00036A76">
        <w:rPr>
          <w:bCs/>
        </w:rPr>
        <w:t xml:space="preserve">isu zaključili ugovor o djelu </w:t>
      </w:r>
      <w:r w:rsidRPr="00036A76">
        <w:rPr>
          <w:bCs/>
        </w:rPr>
        <w:t xml:space="preserve"> sa Društvom</w:t>
      </w:r>
      <w:r w:rsidR="00A542AF" w:rsidRPr="00036A76">
        <w:rPr>
          <w:bCs/>
        </w:rPr>
        <w:t xml:space="preserve"> za upravljanje, </w:t>
      </w:r>
      <w:r w:rsidRPr="00036A76">
        <w:rPr>
          <w:bCs/>
        </w:rPr>
        <w:t>sa Fondom ili bilo kojim od njegovih povezanih društava</w:t>
      </w:r>
      <w:r w:rsidR="00A542AF" w:rsidRPr="00036A76">
        <w:rPr>
          <w:bCs/>
        </w:rPr>
        <w:t>,</w:t>
      </w:r>
      <w:r w:rsidRPr="00036A76">
        <w:rPr>
          <w:bCs/>
        </w:rPr>
        <w:t xml:space="preserve"> koji predviđaju pogodnosti po raskidu radnog odnosa.</w:t>
      </w:r>
    </w:p>
    <w:p w:rsidR="00C36F62" w:rsidRPr="00036A76" w:rsidRDefault="00C36F62" w:rsidP="00C36F62">
      <w:pPr>
        <w:ind w:left="0" w:firstLine="0"/>
        <w:contextualSpacing/>
        <w:rPr>
          <w:bCs/>
        </w:rPr>
      </w:pPr>
    </w:p>
    <w:p w:rsidR="003C4ADB" w:rsidRPr="00036A76" w:rsidRDefault="003C4ADB" w:rsidP="003C4ADB">
      <w:pPr>
        <w:ind w:left="0" w:firstLine="0"/>
        <w:contextualSpacing/>
        <w:jc w:val="left"/>
        <w:rPr>
          <w:bCs/>
        </w:rPr>
      </w:pPr>
      <w:r w:rsidRPr="00036A76">
        <w:rPr>
          <w:bCs/>
        </w:rPr>
        <w:t>Komisija za reviziju i Komisija za naknade emitenta nisu imenovane.</w:t>
      </w:r>
    </w:p>
    <w:p w:rsidR="004E6ECE" w:rsidRPr="00036A76" w:rsidRDefault="004E6ECE" w:rsidP="003C4ADB">
      <w:pPr>
        <w:ind w:left="0" w:firstLine="0"/>
        <w:contextualSpacing/>
      </w:pPr>
    </w:p>
    <w:p w:rsidR="003C4ADB" w:rsidRPr="00036A76" w:rsidRDefault="003C4ADB" w:rsidP="003C4ADB">
      <w:pPr>
        <w:ind w:left="0" w:firstLine="0"/>
        <w:contextualSpacing/>
      </w:pPr>
      <w:r w:rsidRPr="00036A76">
        <w:t xml:space="preserve">Izjavljujemo da Društvo za upravljanje investicionim fondovima „Invest nova“ a.d. Bijeljina u poslovima upravljanja </w:t>
      </w:r>
      <w:r w:rsidR="003D695F" w:rsidRPr="00036A76">
        <w:t xml:space="preserve">Fondom </w:t>
      </w:r>
      <w:r w:rsidRPr="00036A76">
        <w:t>primjenjuje Standarde korporativnog upravljanja akcionarskim društvima (u daljem tekstu: Standardi) donesene od strane Komisije za hartije od vrijednosti RS i objavljene na saj</w:t>
      </w:r>
      <w:r w:rsidR="00826C7C" w:rsidRPr="00036A76">
        <w:t>tu Komisije i sajtu Banjalučke B</w:t>
      </w:r>
      <w:r w:rsidRPr="00036A76">
        <w:t xml:space="preserve">erze. U skladu sa Standardima, Društvo objavljuje propisane i značajne informacije o poslovanju Fonda. U primjeni Standarda, Društvo se rukovodi principima poštovanja prava i ravnopravnog tretmana akcionara Fonda, objavljivanja informacija od značaja za poslovanje Fonda, stručnosti i odgovornosti u procesu </w:t>
      </w:r>
      <w:r w:rsidRPr="00036A76">
        <w:lastRenderedPageBreak/>
        <w:t>upravljanja Fondom, a u najboljem interesu akcionara Fonda, sa izuzetkom onih odredbi čija primjena u datom trenutku nije objektivno moguća. Izjava o usklađenosti organizacije i djelovanja sa Standardima korporativnog upravljanja akcionarskim društvima sastavni je dio Izvještaja o poslovanju Fonda i dostupna je svim akcionarima u poslovnim prostorijama Društva, kao i na internet stranicama Fonda i Banjalučke Berze.</w:t>
      </w:r>
    </w:p>
    <w:p w:rsidR="003C4ADB" w:rsidRPr="00036A76" w:rsidRDefault="003C4ADB" w:rsidP="003C4ADB">
      <w:pPr>
        <w:ind w:left="0"/>
        <w:contextualSpacing/>
        <w:jc w:val="left"/>
      </w:pPr>
    </w:p>
    <w:p w:rsidR="003C4ADB" w:rsidRPr="00036A76" w:rsidRDefault="004E6ECE" w:rsidP="00F553CF">
      <w:pPr>
        <w:pStyle w:val="ListParagraph"/>
        <w:numPr>
          <w:ilvl w:val="0"/>
          <w:numId w:val="8"/>
        </w:numPr>
        <w:jc w:val="left"/>
        <w:rPr>
          <w:b/>
          <w:sz w:val="26"/>
          <w:szCs w:val="26"/>
        </w:rPr>
      </w:pPr>
      <w:r w:rsidRPr="00036A76">
        <w:rPr>
          <w:b/>
          <w:sz w:val="26"/>
          <w:szCs w:val="26"/>
        </w:rPr>
        <w:t>INFORMACIJE O VLASNIŠTVU NAD AKCIJAMA FON</w:t>
      </w:r>
      <w:r w:rsidR="008C66A4" w:rsidRPr="00036A76">
        <w:rPr>
          <w:b/>
          <w:sz w:val="26"/>
          <w:szCs w:val="26"/>
        </w:rPr>
        <w:t>DA ZA SLJEDEĆA LICA NA DAN 31.12</w:t>
      </w:r>
      <w:r w:rsidRPr="00036A76">
        <w:rPr>
          <w:b/>
          <w:sz w:val="26"/>
          <w:szCs w:val="26"/>
        </w:rPr>
        <w:t>.2016. GODINE</w:t>
      </w:r>
    </w:p>
    <w:p w:rsidR="003C4ADB" w:rsidRPr="00036A76" w:rsidRDefault="000C07E4" w:rsidP="0035167D">
      <w:pPr>
        <w:ind w:left="0" w:firstLine="0"/>
        <w:contextualSpacing/>
        <w:jc w:val="left"/>
      </w:pPr>
      <w:r w:rsidRPr="00036A76">
        <w:t>Stevan Radić – 5.241.356</w:t>
      </w:r>
      <w:r w:rsidR="004E6ECE" w:rsidRPr="00036A76">
        <w:t xml:space="preserve"> akcij</w:t>
      </w:r>
      <w:r w:rsidRPr="00036A76">
        <w:t>a</w:t>
      </w:r>
    </w:p>
    <w:p w:rsidR="00457429" w:rsidRPr="00036A76" w:rsidRDefault="00457429" w:rsidP="0035167D">
      <w:pPr>
        <w:ind w:left="0" w:firstLine="0"/>
        <w:contextualSpacing/>
        <w:jc w:val="left"/>
      </w:pPr>
      <w:r w:rsidRPr="00036A76">
        <w:t xml:space="preserve">Petar Mitrović </w:t>
      </w:r>
      <w:r w:rsidR="006B1F84" w:rsidRPr="00036A76">
        <w:t>–</w:t>
      </w:r>
      <w:r w:rsidRPr="00036A76">
        <w:t xml:space="preserve"> </w:t>
      </w:r>
      <w:r w:rsidR="006B1F84" w:rsidRPr="00036A76">
        <w:t>1.159.432</w:t>
      </w:r>
      <w:r w:rsidRPr="00036A76">
        <w:t xml:space="preserve"> akcij</w:t>
      </w:r>
      <w:r w:rsidR="006B1F84" w:rsidRPr="00036A76">
        <w:t>e</w:t>
      </w:r>
    </w:p>
    <w:p w:rsidR="004E6ECE" w:rsidRPr="00036A76" w:rsidRDefault="00927EF6" w:rsidP="0035167D">
      <w:pPr>
        <w:ind w:left="0" w:firstLine="0"/>
        <w:contextualSpacing/>
        <w:jc w:val="left"/>
      </w:pPr>
      <w:r w:rsidRPr="00036A76">
        <w:t>Srđ</w:t>
      </w:r>
      <w:r w:rsidR="008C66A4" w:rsidRPr="00036A76">
        <w:t>an Stanojević</w:t>
      </w:r>
      <w:r w:rsidR="0019315B" w:rsidRPr="00036A76">
        <w:t xml:space="preserve"> – 0,00</w:t>
      </w:r>
      <w:r w:rsidR="004E6ECE" w:rsidRPr="00036A76">
        <w:t xml:space="preserve"> akcija</w:t>
      </w:r>
    </w:p>
    <w:p w:rsidR="004E6ECE" w:rsidRPr="00036A76" w:rsidRDefault="008C66A4" w:rsidP="0035167D">
      <w:pPr>
        <w:ind w:left="0" w:firstLine="0"/>
        <w:contextualSpacing/>
        <w:jc w:val="left"/>
      </w:pPr>
      <w:r w:rsidRPr="00036A76">
        <w:t>Željko Šupić</w:t>
      </w:r>
      <w:r w:rsidR="0019315B" w:rsidRPr="00036A76">
        <w:t xml:space="preserve"> -0,00</w:t>
      </w:r>
      <w:r w:rsidR="004E6ECE" w:rsidRPr="00036A76">
        <w:t xml:space="preserve"> akcija</w:t>
      </w:r>
    </w:p>
    <w:p w:rsidR="004E6ECE" w:rsidRPr="00036A76" w:rsidRDefault="00BD4579" w:rsidP="0035167D">
      <w:pPr>
        <w:ind w:left="0" w:firstLine="0"/>
        <w:contextualSpacing/>
        <w:jc w:val="left"/>
      </w:pPr>
      <w:r w:rsidRPr="00036A76">
        <w:t>Darjo Pungartnik – 0,00</w:t>
      </w:r>
      <w:r w:rsidR="004E6ECE" w:rsidRPr="00036A76">
        <w:t xml:space="preserve"> akcija</w:t>
      </w:r>
    </w:p>
    <w:p w:rsidR="004E6ECE" w:rsidRPr="00036A76" w:rsidRDefault="00BD4579" w:rsidP="0035167D">
      <w:pPr>
        <w:ind w:left="0" w:firstLine="0"/>
        <w:contextualSpacing/>
        <w:jc w:val="left"/>
      </w:pPr>
      <w:r w:rsidRPr="00036A76">
        <w:t>Petar Dragičević – 0,00</w:t>
      </w:r>
      <w:r w:rsidR="004E6ECE" w:rsidRPr="00036A76">
        <w:t xml:space="preserve"> akcija</w:t>
      </w:r>
    </w:p>
    <w:p w:rsidR="004C524B" w:rsidRPr="00036A76" w:rsidRDefault="00BD4579" w:rsidP="0035167D">
      <w:pPr>
        <w:ind w:left="0" w:firstLine="0"/>
        <w:contextualSpacing/>
        <w:jc w:val="left"/>
      </w:pPr>
      <w:r w:rsidRPr="00036A76">
        <w:t>Miladin Vidić – 0,00</w:t>
      </w:r>
      <w:r w:rsidR="004C524B" w:rsidRPr="00036A76">
        <w:t xml:space="preserve"> akcija</w:t>
      </w:r>
    </w:p>
    <w:p w:rsidR="004C524B" w:rsidRPr="00036A76" w:rsidRDefault="00BD4579" w:rsidP="0035167D">
      <w:pPr>
        <w:ind w:left="0" w:firstLine="0"/>
        <w:contextualSpacing/>
        <w:jc w:val="left"/>
      </w:pPr>
      <w:r w:rsidRPr="00036A76">
        <w:t>Biljana Čepujnoska Sekulić – 0,00</w:t>
      </w:r>
      <w:r w:rsidR="004C524B" w:rsidRPr="00036A76">
        <w:t xml:space="preserve"> akcija</w:t>
      </w:r>
    </w:p>
    <w:p w:rsidR="004C524B" w:rsidRPr="00036A76" w:rsidRDefault="00BD4579" w:rsidP="0035167D">
      <w:pPr>
        <w:ind w:left="0" w:firstLine="0"/>
        <w:contextualSpacing/>
        <w:jc w:val="left"/>
      </w:pPr>
      <w:r w:rsidRPr="00036A76">
        <w:t>Cvijeta Cacanović – 0,00</w:t>
      </w:r>
      <w:r w:rsidR="004C524B" w:rsidRPr="00036A76">
        <w:t xml:space="preserve"> akcija</w:t>
      </w:r>
    </w:p>
    <w:p w:rsidR="006E4C76" w:rsidRPr="00036A76" w:rsidRDefault="006E4C76" w:rsidP="004217C0">
      <w:pPr>
        <w:ind w:left="0" w:firstLine="0"/>
        <w:contextualSpacing/>
        <w:jc w:val="left"/>
        <w:rPr>
          <w:b/>
        </w:rPr>
      </w:pPr>
    </w:p>
    <w:p w:rsidR="003C4ADB" w:rsidRPr="00036A76" w:rsidRDefault="006E4C76" w:rsidP="00F553CF">
      <w:pPr>
        <w:pStyle w:val="ListParagraph"/>
        <w:numPr>
          <w:ilvl w:val="0"/>
          <w:numId w:val="8"/>
        </w:numPr>
        <w:jc w:val="left"/>
        <w:rPr>
          <w:b/>
        </w:rPr>
      </w:pPr>
      <w:r w:rsidRPr="00036A76">
        <w:rPr>
          <w:b/>
        </w:rPr>
        <w:t>VEĆINSKI AKCIONARI:</w:t>
      </w:r>
    </w:p>
    <w:p w:rsidR="00BD4579" w:rsidRPr="00036A76" w:rsidRDefault="00BD4579" w:rsidP="00D97468">
      <w:pPr>
        <w:ind w:left="0" w:firstLine="0"/>
        <w:jc w:val="left"/>
        <w:rPr>
          <w:b/>
        </w:rPr>
      </w:pPr>
    </w:p>
    <w:p w:rsidR="006E4C76" w:rsidRPr="00036A76" w:rsidRDefault="006E4C76" w:rsidP="006E4C76">
      <w:pPr>
        <w:ind w:left="0" w:firstLine="0"/>
        <w:rPr>
          <w:sz w:val="18"/>
          <w:szCs w:val="18"/>
        </w:rPr>
      </w:pPr>
      <w:r w:rsidRPr="00036A76">
        <w:rPr>
          <w:sz w:val="18"/>
          <w:szCs w:val="18"/>
        </w:rPr>
        <w:t>deset najveć</w:t>
      </w:r>
      <w:r w:rsidR="00D97468" w:rsidRPr="00036A76">
        <w:rPr>
          <w:sz w:val="18"/>
          <w:szCs w:val="18"/>
        </w:rPr>
        <w:t>ih akcionara Fonda na dan 31.12.</w:t>
      </w:r>
      <w:r w:rsidRPr="00036A76">
        <w:rPr>
          <w:sz w:val="18"/>
          <w:szCs w:val="18"/>
        </w:rPr>
        <w:t>2016. godine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6"/>
        <w:gridCol w:w="1884"/>
        <w:gridCol w:w="1686"/>
      </w:tblGrid>
      <w:tr w:rsidR="006E4C76" w:rsidRPr="00036A76" w:rsidTr="00D97468">
        <w:tc>
          <w:tcPr>
            <w:tcW w:w="6006" w:type="dxa"/>
          </w:tcPr>
          <w:p w:rsidR="006E4C76" w:rsidRPr="00036A76" w:rsidRDefault="006E4C76" w:rsidP="006E4C76">
            <w:pPr>
              <w:tabs>
                <w:tab w:val="center" w:pos="4320"/>
                <w:tab w:val="right" w:pos="8640"/>
              </w:tabs>
              <w:ind w:left="0" w:firstLine="0"/>
              <w:jc w:val="center"/>
              <w:rPr>
                <w:sz w:val="18"/>
                <w:szCs w:val="18"/>
              </w:rPr>
            </w:pPr>
            <w:r w:rsidRPr="00036A76">
              <w:rPr>
                <w:sz w:val="18"/>
                <w:szCs w:val="18"/>
              </w:rPr>
              <w:t>Naziv</w:t>
            </w:r>
          </w:p>
        </w:tc>
        <w:tc>
          <w:tcPr>
            <w:tcW w:w="1884" w:type="dxa"/>
          </w:tcPr>
          <w:p w:rsidR="006E4C76" w:rsidRPr="00036A76" w:rsidRDefault="006E4C76" w:rsidP="006E4C76">
            <w:pPr>
              <w:tabs>
                <w:tab w:val="center" w:pos="4320"/>
                <w:tab w:val="right" w:pos="8640"/>
              </w:tabs>
              <w:ind w:left="0" w:firstLine="0"/>
              <w:jc w:val="center"/>
              <w:rPr>
                <w:sz w:val="18"/>
                <w:szCs w:val="18"/>
              </w:rPr>
            </w:pPr>
            <w:r w:rsidRPr="00036A76">
              <w:rPr>
                <w:sz w:val="18"/>
                <w:szCs w:val="18"/>
              </w:rPr>
              <w:t>% učešća</w:t>
            </w:r>
          </w:p>
        </w:tc>
        <w:tc>
          <w:tcPr>
            <w:tcW w:w="1686" w:type="dxa"/>
          </w:tcPr>
          <w:p w:rsidR="006E4C76" w:rsidRPr="00036A76" w:rsidRDefault="006E4C76" w:rsidP="006E4C76">
            <w:pPr>
              <w:tabs>
                <w:tab w:val="center" w:pos="4320"/>
                <w:tab w:val="right" w:pos="8640"/>
              </w:tabs>
              <w:ind w:left="0" w:firstLine="0"/>
              <w:jc w:val="center"/>
              <w:rPr>
                <w:sz w:val="18"/>
                <w:szCs w:val="18"/>
              </w:rPr>
            </w:pPr>
            <w:r w:rsidRPr="00036A76">
              <w:rPr>
                <w:sz w:val="18"/>
                <w:szCs w:val="18"/>
              </w:rPr>
              <w:t>% učešća sa pravom glasa</w:t>
            </w:r>
          </w:p>
        </w:tc>
      </w:tr>
      <w:tr w:rsidR="006E4C76" w:rsidRPr="00036A76" w:rsidTr="00D97468">
        <w:tc>
          <w:tcPr>
            <w:tcW w:w="6006" w:type="dxa"/>
          </w:tcPr>
          <w:p w:rsidR="006E4C76" w:rsidRPr="00036A76" w:rsidRDefault="006E4C76" w:rsidP="006E4C76">
            <w:pPr>
              <w:tabs>
                <w:tab w:val="center" w:pos="4320"/>
                <w:tab w:val="right" w:pos="8640"/>
              </w:tabs>
              <w:ind w:left="0" w:firstLine="0"/>
              <w:rPr>
                <w:sz w:val="18"/>
                <w:szCs w:val="18"/>
              </w:rPr>
            </w:pPr>
            <w:r w:rsidRPr="00036A76">
              <w:rPr>
                <w:sz w:val="18"/>
                <w:szCs w:val="18"/>
              </w:rPr>
              <w:t>ZIF Fortuna fond d.d. Bihać</w:t>
            </w:r>
          </w:p>
        </w:tc>
        <w:tc>
          <w:tcPr>
            <w:tcW w:w="1884"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12,33</w:t>
            </w:r>
          </w:p>
        </w:tc>
        <w:tc>
          <w:tcPr>
            <w:tcW w:w="1686"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12,33</w:t>
            </w:r>
          </w:p>
        </w:tc>
      </w:tr>
      <w:tr w:rsidR="006E4C76" w:rsidRPr="00036A76" w:rsidTr="00D97468">
        <w:tc>
          <w:tcPr>
            <w:tcW w:w="6006" w:type="dxa"/>
          </w:tcPr>
          <w:p w:rsidR="006E4C76" w:rsidRPr="00036A76" w:rsidRDefault="00645C28" w:rsidP="006E4C76">
            <w:pPr>
              <w:tabs>
                <w:tab w:val="center" w:pos="4320"/>
                <w:tab w:val="right" w:pos="8640"/>
              </w:tabs>
              <w:ind w:left="0" w:firstLine="0"/>
              <w:rPr>
                <w:sz w:val="18"/>
                <w:szCs w:val="18"/>
              </w:rPr>
            </w:pPr>
            <w:hyperlink r:id="rId9" w:history="1">
              <w:r w:rsidR="006E4C76" w:rsidRPr="00036A76">
                <w:rPr>
                  <w:sz w:val="18"/>
                  <w:szCs w:val="18"/>
                </w:rPr>
                <w:t xml:space="preserve">OTVORENI INVESTICIONI FOND MONETA Podgorica </w:t>
              </w:r>
            </w:hyperlink>
          </w:p>
        </w:tc>
        <w:tc>
          <w:tcPr>
            <w:tcW w:w="1884" w:type="dxa"/>
          </w:tcPr>
          <w:p w:rsidR="006E4C76" w:rsidRPr="00036A76" w:rsidRDefault="00D97468" w:rsidP="006E4C76">
            <w:pPr>
              <w:tabs>
                <w:tab w:val="center" w:pos="4320"/>
                <w:tab w:val="right" w:pos="8640"/>
              </w:tabs>
              <w:ind w:left="0" w:firstLine="0"/>
              <w:jc w:val="right"/>
              <w:rPr>
                <w:sz w:val="18"/>
                <w:szCs w:val="18"/>
              </w:rPr>
            </w:pPr>
            <w:r w:rsidRPr="00036A76">
              <w:rPr>
                <w:sz w:val="18"/>
                <w:szCs w:val="18"/>
              </w:rPr>
              <w:t>11,36</w:t>
            </w:r>
          </w:p>
        </w:tc>
        <w:tc>
          <w:tcPr>
            <w:tcW w:w="1686"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11,47</w:t>
            </w:r>
          </w:p>
        </w:tc>
      </w:tr>
      <w:tr w:rsidR="006E4C76" w:rsidRPr="00036A76" w:rsidTr="00D97468">
        <w:tc>
          <w:tcPr>
            <w:tcW w:w="6006" w:type="dxa"/>
            <w:vAlign w:val="center"/>
          </w:tcPr>
          <w:p w:rsidR="006E4C76" w:rsidRPr="00036A76" w:rsidRDefault="006E4C76" w:rsidP="006E4C76">
            <w:pPr>
              <w:tabs>
                <w:tab w:val="center" w:pos="4320"/>
                <w:tab w:val="right" w:pos="8640"/>
              </w:tabs>
              <w:ind w:left="0" w:firstLine="0"/>
              <w:rPr>
                <w:sz w:val="18"/>
                <w:szCs w:val="18"/>
              </w:rPr>
            </w:pPr>
            <w:r w:rsidRPr="00036A76">
              <w:rPr>
                <w:sz w:val="18"/>
                <w:szCs w:val="18"/>
              </w:rPr>
              <w:t xml:space="preserve">Raiffeisen bank d.d. BiH Sarajevo </w:t>
            </w:r>
            <w:r w:rsidR="007E0ECA" w:rsidRPr="00036A76">
              <w:rPr>
                <w:sz w:val="18"/>
                <w:szCs w:val="18"/>
              </w:rPr>
              <w:t>–</w:t>
            </w:r>
            <w:r w:rsidRPr="00036A76">
              <w:rPr>
                <w:sz w:val="18"/>
                <w:szCs w:val="18"/>
              </w:rPr>
              <w:t xml:space="preserve"> kastodi</w:t>
            </w:r>
          </w:p>
        </w:tc>
        <w:tc>
          <w:tcPr>
            <w:tcW w:w="1884" w:type="dxa"/>
            <w:vAlign w:val="center"/>
          </w:tcPr>
          <w:p w:rsidR="006E4C76" w:rsidRPr="00036A76" w:rsidRDefault="00D97468" w:rsidP="006E4C76">
            <w:pPr>
              <w:tabs>
                <w:tab w:val="center" w:pos="4320"/>
                <w:tab w:val="right" w:pos="8640"/>
              </w:tabs>
              <w:ind w:left="0" w:firstLine="0"/>
              <w:jc w:val="right"/>
              <w:rPr>
                <w:sz w:val="18"/>
                <w:szCs w:val="18"/>
              </w:rPr>
            </w:pPr>
            <w:r w:rsidRPr="00036A76">
              <w:rPr>
                <w:sz w:val="18"/>
                <w:szCs w:val="18"/>
              </w:rPr>
              <w:t>3,63</w:t>
            </w:r>
          </w:p>
        </w:tc>
        <w:tc>
          <w:tcPr>
            <w:tcW w:w="1686" w:type="dxa"/>
            <w:vAlign w:val="center"/>
          </w:tcPr>
          <w:p w:rsidR="006E4C76" w:rsidRPr="00036A76" w:rsidRDefault="00D97468" w:rsidP="006E4C76">
            <w:pPr>
              <w:tabs>
                <w:tab w:val="center" w:pos="4320"/>
                <w:tab w:val="right" w:pos="8640"/>
              </w:tabs>
              <w:ind w:left="0" w:firstLine="0"/>
              <w:jc w:val="right"/>
              <w:rPr>
                <w:sz w:val="18"/>
                <w:szCs w:val="18"/>
              </w:rPr>
            </w:pPr>
            <w:r w:rsidRPr="00036A76">
              <w:rPr>
                <w:sz w:val="18"/>
                <w:szCs w:val="18"/>
              </w:rPr>
              <w:t>3,63</w:t>
            </w:r>
          </w:p>
        </w:tc>
      </w:tr>
      <w:tr w:rsidR="006E4C76" w:rsidRPr="00036A76" w:rsidTr="00D97468">
        <w:tc>
          <w:tcPr>
            <w:tcW w:w="6006" w:type="dxa"/>
          </w:tcPr>
          <w:p w:rsidR="006E4C76" w:rsidRPr="00036A76" w:rsidRDefault="006E4C76" w:rsidP="006E4C76">
            <w:pPr>
              <w:tabs>
                <w:tab w:val="center" w:pos="4320"/>
                <w:tab w:val="right" w:pos="8640"/>
              </w:tabs>
              <w:ind w:left="0" w:firstLine="0"/>
              <w:rPr>
                <w:sz w:val="18"/>
                <w:szCs w:val="18"/>
              </w:rPr>
            </w:pPr>
            <w:r w:rsidRPr="00036A76">
              <w:rPr>
                <w:sz w:val="18"/>
                <w:szCs w:val="18"/>
              </w:rPr>
              <w:t>Napredak a.d. Bijeljina</w:t>
            </w:r>
          </w:p>
        </w:tc>
        <w:tc>
          <w:tcPr>
            <w:tcW w:w="1884"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2,86</w:t>
            </w:r>
          </w:p>
        </w:tc>
        <w:tc>
          <w:tcPr>
            <w:tcW w:w="1686"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2,86</w:t>
            </w:r>
          </w:p>
        </w:tc>
      </w:tr>
      <w:tr w:rsidR="00D97468" w:rsidRPr="00036A76" w:rsidTr="00D97468">
        <w:tc>
          <w:tcPr>
            <w:tcW w:w="6006" w:type="dxa"/>
          </w:tcPr>
          <w:p w:rsidR="00D97468" w:rsidRPr="00036A76" w:rsidRDefault="00D97468" w:rsidP="008B2CF4">
            <w:pPr>
              <w:tabs>
                <w:tab w:val="center" w:pos="4320"/>
                <w:tab w:val="right" w:pos="8640"/>
              </w:tabs>
              <w:ind w:left="0" w:firstLine="0"/>
              <w:rPr>
                <w:b/>
                <w:i/>
                <w:sz w:val="18"/>
                <w:szCs w:val="18"/>
              </w:rPr>
            </w:pPr>
            <w:r w:rsidRPr="00036A76">
              <w:rPr>
                <w:sz w:val="18"/>
                <w:szCs w:val="18"/>
              </w:rPr>
              <w:t>Radić Stevan</w:t>
            </w:r>
          </w:p>
        </w:tc>
        <w:tc>
          <w:tcPr>
            <w:tcW w:w="1884"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2,28</w:t>
            </w:r>
          </w:p>
        </w:tc>
        <w:tc>
          <w:tcPr>
            <w:tcW w:w="1686"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2,28</w:t>
            </w:r>
          </w:p>
        </w:tc>
      </w:tr>
      <w:tr w:rsidR="00D97468" w:rsidRPr="00036A76" w:rsidTr="00D97468">
        <w:tc>
          <w:tcPr>
            <w:tcW w:w="6006" w:type="dxa"/>
          </w:tcPr>
          <w:p w:rsidR="00D97468" w:rsidRPr="00036A76" w:rsidRDefault="00D97468" w:rsidP="006E4C76">
            <w:pPr>
              <w:tabs>
                <w:tab w:val="center" w:pos="4320"/>
                <w:tab w:val="right" w:pos="8640"/>
              </w:tabs>
              <w:ind w:left="0" w:firstLine="0"/>
              <w:rPr>
                <w:sz w:val="18"/>
                <w:szCs w:val="18"/>
              </w:rPr>
            </w:pPr>
            <w:r w:rsidRPr="00036A76">
              <w:rPr>
                <w:rFonts w:ascii="MS Sans Serif" w:eastAsia="Calibri" w:hAnsi="MS Sans Serif"/>
                <w:sz w:val="20"/>
                <w:szCs w:val="20"/>
              </w:rPr>
              <w:t>ZIF PRIVREDNIK INVEST AD BANJA LUKA</w:t>
            </w:r>
          </w:p>
        </w:tc>
        <w:tc>
          <w:tcPr>
            <w:tcW w:w="1884" w:type="dxa"/>
            <w:vAlign w:val="bottom"/>
          </w:tcPr>
          <w:p w:rsidR="00D97468" w:rsidRPr="00036A76" w:rsidRDefault="00D97468" w:rsidP="008B2CF4">
            <w:pPr>
              <w:jc w:val="right"/>
              <w:rPr>
                <w:rFonts w:ascii="MS Sans Serif" w:eastAsia="Calibri" w:hAnsi="MS Sans Serif"/>
                <w:sz w:val="18"/>
                <w:szCs w:val="18"/>
              </w:rPr>
            </w:pPr>
            <w:r w:rsidRPr="00036A76">
              <w:rPr>
                <w:rFonts w:ascii="MS Sans Serif" w:hAnsi="MS Sans Serif"/>
                <w:sz w:val="18"/>
                <w:szCs w:val="18"/>
              </w:rPr>
              <w:t>1,98</w:t>
            </w:r>
          </w:p>
        </w:tc>
        <w:tc>
          <w:tcPr>
            <w:tcW w:w="1686" w:type="dxa"/>
            <w:vAlign w:val="bottom"/>
          </w:tcPr>
          <w:p w:rsidR="00D97468" w:rsidRPr="00036A76" w:rsidRDefault="00D97468" w:rsidP="008B2CF4">
            <w:pPr>
              <w:jc w:val="right"/>
              <w:rPr>
                <w:rFonts w:ascii="MS Sans Serif" w:eastAsia="Calibri" w:hAnsi="MS Sans Serif"/>
                <w:sz w:val="18"/>
                <w:szCs w:val="18"/>
              </w:rPr>
            </w:pPr>
            <w:r w:rsidRPr="00036A76">
              <w:rPr>
                <w:rFonts w:ascii="MS Sans Serif" w:hAnsi="MS Sans Serif"/>
                <w:sz w:val="18"/>
                <w:szCs w:val="18"/>
              </w:rPr>
              <w:t xml:space="preserve">  1,98</w:t>
            </w:r>
          </w:p>
        </w:tc>
      </w:tr>
      <w:tr w:rsidR="00D97468" w:rsidRPr="00036A76" w:rsidTr="00D97468">
        <w:tc>
          <w:tcPr>
            <w:tcW w:w="6006" w:type="dxa"/>
          </w:tcPr>
          <w:p w:rsidR="00D97468" w:rsidRPr="00036A76" w:rsidRDefault="00D97468" w:rsidP="006E4C76">
            <w:pPr>
              <w:tabs>
                <w:tab w:val="center" w:pos="4320"/>
                <w:tab w:val="right" w:pos="8640"/>
              </w:tabs>
              <w:ind w:left="0" w:firstLine="0"/>
              <w:rPr>
                <w:b/>
                <w:i/>
                <w:sz w:val="18"/>
                <w:szCs w:val="18"/>
              </w:rPr>
            </w:pPr>
            <w:r w:rsidRPr="00036A76">
              <w:rPr>
                <w:rFonts w:ascii="MS Sans Serif" w:eastAsia="Calibri" w:hAnsi="MS Sans Serif"/>
                <w:sz w:val="20"/>
                <w:szCs w:val="20"/>
              </w:rPr>
              <w:t>ZMIF u preoblikovanju KRISTAL INVEST FOND AD BANJA LUKA</w:t>
            </w:r>
          </w:p>
        </w:tc>
        <w:tc>
          <w:tcPr>
            <w:tcW w:w="1884"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1,75</w:t>
            </w:r>
          </w:p>
        </w:tc>
        <w:tc>
          <w:tcPr>
            <w:tcW w:w="1686"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1,75</w:t>
            </w:r>
          </w:p>
        </w:tc>
      </w:tr>
      <w:tr w:rsidR="00D97468" w:rsidRPr="00036A76" w:rsidTr="008B2CF4">
        <w:tc>
          <w:tcPr>
            <w:tcW w:w="6006" w:type="dxa"/>
            <w:vAlign w:val="bottom"/>
          </w:tcPr>
          <w:p w:rsidR="00D97468" w:rsidRPr="00036A76" w:rsidRDefault="00D97468" w:rsidP="00D97468">
            <w:pPr>
              <w:ind w:left="0" w:firstLine="0"/>
              <w:jc w:val="left"/>
              <w:rPr>
                <w:rFonts w:ascii="MS Sans Serif" w:eastAsia="Calibri" w:hAnsi="MS Sans Serif"/>
                <w:sz w:val="20"/>
                <w:szCs w:val="20"/>
              </w:rPr>
            </w:pPr>
            <w:r w:rsidRPr="00036A76">
              <w:rPr>
                <w:rFonts w:ascii="MS Sans Serif" w:eastAsia="Calibri" w:hAnsi="MS Sans Serif"/>
                <w:sz w:val="20"/>
                <w:szCs w:val="20"/>
              </w:rPr>
              <w:t>POLARA INVEST FOND AD BANJA LUKA</w:t>
            </w:r>
          </w:p>
        </w:tc>
        <w:tc>
          <w:tcPr>
            <w:tcW w:w="1884"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1,71</w:t>
            </w:r>
          </w:p>
        </w:tc>
        <w:tc>
          <w:tcPr>
            <w:tcW w:w="1686"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1,71</w:t>
            </w:r>
          </w:p>
        </w:tc>
      </w:tr>
      <w:tr w:rsidR="00D97468" w:rsidRPr="00036A76" w:rsidTr="00D97468">
        <w:tc>
          <w:tcPr>
            <w:tcW w:w="6006" w:type="dxa"/>
          </w:tcPr>
          <w:p w:rsidR="00D97468" w:rsidRPr="00036A76" w:rsidRDefault="00D97468" w:rsidP="006E4C76">
            <w:pPr>
              <w:tabs>
                <w:tab w:val="center" w:pos="4320"/>
                <w:tab w:val="right" w:pos="8640"/>
              </w:tabs>
              <w:ind w:left="0" w:firstLine="0"/>
              <w:rPr>
                <w:sz w:val="18"/>
                <w:szCs w:val="18"/>
              </w:rPr>
            </w:pPr>
            <w:r w:rsidRPr="00036A76">
              <w:rPr>
                <w:sz w:val="18"/>
                <w:szCs w:val="18"/>
              </w:rPr>
              <w:t>“PROGRES AD" d.o.o. Zvornik</w:t>
            </w:r>
          </w:p>
        </w:tc>
        <w:tc>
          <w:tcPr>
            <w:tcW w:w="1884"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1,56</w:t>
            </w:r>
          </w:p>
        </w:tc>
        <w:tc>
          <w:tcPr>
            <w:tcW w:w="1686"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1,56</w:t>
            </w:r>
          </w:p>
        </w:tc>
      </w:tr>
      <w:tr w:rsidR="00D97468" w:rsidRPr="00036A76" w:rsidTr="00D97468">
        <w:tc>
          <w:tcPr>
            <w:tcW w:w="6006" w:type="dxa"/>
          </w:tcPr>
          <w:p w:rsidR="00D97468" w:rsidRPr="00036A76" w:rsidRDefault="00645C28" w:rsidP="006E4C76">
            <w:pPr>
              <w:tabs>
                <w:tab w:val="center" w:pos="4320"/>
                <w:tab w:val="right" w:pos="8640"/>
              </w:tabs>
              <w:ind w:left="0" w:firstLine="0"/>
              <w:rPr>
                <w:b/>
                <w:i/>
                <w:sz w:val="18"/>
                <w:szCs w:val="18"/>
              </w:rPr>
            </w:pPr>
            <w:hyperlink r:id="rId10" w:history="1">
              <w:r w:rsidR="00D97468" w:rsidRPr="00036A76">
                <w:rPr>
                  <w:sz w:val="18"/>
                  <w:szCs w:val="18"/>
                </w:rPr>
                <w:t>Lazarević</w:t>
              </w:r>
            </w:hyperlink>
            <w:r w:rsidR="00D97468" w:rsidRPr="00036A76">
              <w:rPr>
                <w:sz w:val="18"/>
                <w:szCs w:val="18"/>
              </w:rPr>
              <w:t xml:space="preserve"> Dušan</w:t>
            </w:r>
          </w:p>
        </w:tc>
        <w:tc>
          <w:tcPr>
            <w:tcW w:w="1884"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1,22</w:t>
            </w:r>
          </w:p>
        </w:tc>
        <w:tc>
          <w:tcPr>
            <w:tcW w:w="1686" w:type="dxa"/>
            <w:vAlign w:val="center"/>
          </w:tcPr>
          <w:p w:rsidR="00D97468" w:rsidRPr="00036A76" w:rsidRDefault="00D97468" w:rsidP="006E4C76">
            <w:pPr>
              <w:tabs>
                <w:tab w:val="center" w:pos="4320"/>
                <w:tab w:val="right" w:pos="8640"/>
              </w:tabs>
              <w:ind w:left="0" w:firstLine="0"/>
              <w:jc w:val="right"/>
              <w:rPr>
                <w:sz w:val="18"/>
                <w:szCs w:val="18"/>
              </w:rPr>
            </w:pPr>
            <w:r w:rsidRPr="00036A76">
              <w:rPr>
                <w:sz w:val="18"/>
                <w:szCs w:val="18"/>
              </w:rPr>
              <w:t>1,22</w:t>
            </w:r>
          </w:p>
        </w:tc>
      </w:tr>
    </w:tbl>
    <w:p w:rsidR="006E4C76" w:rsidRPr="00036A76" w:rsidRDefault="006E4C76" w:rsidP="006E4C76">
      <w:pPr>
        <w:ind w:left="0" w:firstLine="0"/>
        <w:rPr>
          <w:rFonts w:eastAsia="Calibri"/>
          <w:lang w:val="sr-Latn-BA"/>
        </w:rPr>
      </w:pPr>
    </w:p>
    <w:p w:rsidR="006E4C76" w:rsidRPr="00036A76" w:rsidRDefault="006E4C76" w:rsidP="006E4C76">
      <w:pPr>
        <w:ind w:left="0" w:firstLine="0"/>
        <w:rPr>
          <w:sz w:val="18"/>
          <w:szCs w:val="18"/>
        </w:rPr>
      </w:pPr>
      <w:r w:rsidRPr="00036A76">
        <w:rPr>
          <w:sz w:val="18"/>
          <w:szCs w:val="18"/>
        </w:rPr>
        <w:t>vlasni</w:t>
      </w:r>
      <w:r w:rsidR="008968C3" w:rsidRPr="00036A76">
        <w:rPr>
          <w:sz w:val="18"/>
          <w:szCs w:val="18"/>
        </w:rPr>
        <w:t>čka struktura Fonda na dan 31.12.</w:t>
      </w:r>
      <w:r w:rsidRPr="00036A76">
        <w:rPr>
          <w:sz w:val="18"/>
          <w:szCs w:val="18"/>
        </w:rPr>
        <w:t>.2016. godine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6E4C76" w:rsidRPr="00036A76" w:rsidTr="006E4C76">
        <w:tc>
          <w:tcPr>
            <w:tcW w:w="9576" w:type="dxa"/>
            <w:gridSpan w:val="7"/>
          </w:tcPr>
          <w:p w:rsidR="006E4C76" w:rsidRPr="00036A76" w:rsidRDefault="006E4C76" w:rsidP="006E4C76">
            <w:pPr>
              <w:tabs>
                <w:tab w:val="center" w:pos="4320"/>
                <w:tab w:val="right" w:pos="8640"/>
              </w:tabs>
              <w:ind w:left="0" w:firstLine="0"/>
              <w:rPr>
                <w:sz w:val="18"/>
                <w:szCs w:val="18"/>
              </w:rPr>
            </w:pPr>
            <w:r w:rsidRPr="00036A76">
              <w:rPr>
                <w:sz w:val="18"/>
                <w:szCs w:val="18"/>
              </w:rPr>
              <w:t>Udio akcionara                                   Broj akcionara                                              % vlasništva od ukupnog kapitala</w:t>
            </w:r>
          </w:p>
        </w:tc>
      </w:tr>
      <w:tr w:rsidR="006E4C76" w:rsidRPr="00036A76" w:rsidTr="006E4C76">
        <w:tc>
          <w:tcPr>
            <w:tcW w:w="1368" w:type="dxa"/>
          </w:tcPr>
          <w:p w:rsidR="006E4C76" w:rsidRPr="00036A76" w:rsidRDefault="006E4C76" w:rsidP="006E4C76">
            <w:pPr>
              <w:tabs>
                <w:tab w:val="center" w:pos="4320"/>
                <w:tab w:val="right" w:pos="8640"/>
              </w:tabs>
              <w:ind w:left="0" w:firstLine="0"/>
              <w:rPr>
                <w:b/>
                <w:i/>
                <w:color w:val="FF0000"/>
                <w:sz w:val="18"/>
                <w:szCs w:val="18"/>
              </w:rPr>
            </w:pPr>
          </w:p>
        </w:tc>
        <w:tc>
          <w:tcPr>
            <w:tcW w:w="1368" w:type="dxa"/>
          </w:tcPr>
          <w:p w:rsidR="006E4C76" w:rsidRPr="00036A76" w:rsidRDefault="006E4C76" w:rsidP="006E4C76">
            <w:pPr>
              <w:tabs>
                <w:tab w:val="center" w:pos="4320"/>
                <w:tab w:val="right" w:pos="8640"/>
              </w:tabs>
              <w:ind w:left="0" w:firstLine="0"/>
              <w:rPr>
                <w:b/>
                <w:i/>
                <w:sz w:val="18"/>
                <w:szCs w:val="18"/>
              </w:rPr>
            </w:pPr>
            <w:r w:rsidRPr="00036A76">
              <w:rPr>
                <w:b/>
                <w:i/>
                <w:sz w:val="18"/>
                <w:szCs w:val="18"/>
              </w:rPr>
              <w:t>Domaći</w:t>
            </w:r>
          </w:p>
        </w:tc>
        <w:tc>
          <w:tcPr>
            <w:tcW w:w="1368" w:type="dxa"/>
          </w:tcPr>
          <w:p w:rsidR="006E4C76" w:rsidRPr="00036A76" w:rsidRDefault="006E4C76" w:rsidP="006E4C76">
            <w:pPr>
              <w:tabs>
                <w:tab w:val="center" w:pos="4320"/>
                <w:tab w:val="right" w:pos="8640"/>
              </w:tabs>
              <w:ind w:left="0" w:firstLine="0"/>
              <w:rPr>
                <w:b/>
                <w:i/>
                <w:sz w:val="18"/>
                <w:szCs w:val="18"/>
              </w:rPr>
            </w:pPr>
            <w:r w:rsidRPr="00036A76">
              <w:rPr>
                <w:b/>
                <w:i/>
                <w:sz w:val="18"/>
                <w:szCs w:val="18"/>
              </w:rPr>
              <w:t>Strani</w:t>
            </w:r>
          </w:p>
        </w:tc>
        <w:tc>
          <w:tcPr>
            <w:tcW w:w="1368" w:type="dxa"/>
          </w:tcPr>
          <w:p w:rsidR="006E4C76" w:rsidRPr="00036A76" w:rsidRDefault="006E4C76" w:rsidP="006E4C76">
            <w:pPr>
              <w:tabs>
                <w:tab w:val="center" w:pos="4320"/>
                <w:tab w:val="right" w:pos="8640"/>
              </w:tabs>
              <w:ind w:left="0" w:firstLine="0"/>
              <w:rPr>
                <w:b/>
                <w:i/>
                <w:sz w:val="18"/>
                <w:szCs w:val="18"/>
              </w:rPr>
            </w:pPr>
            <w:r w:rsidRPr="00036A76">
              <w:rPr>
                <w:b/>
                <w:i/>
                <w:sz w:val="18"/>
                <w:szCs w:val="18"/>
              </w:rPr>
              <w:t>Ukupno</w:t>
            </w:r>
          </w:p>
        </w:tc>
        <w:tc>
          <w:tcPr>
            <w:tcW w:w="1368" w:type="dxa"/>
          </w:tcPr>
          <w:p w:rsidR="006E4C76" w:rsidRPr="00036A76" w:rsidRDefault="006E4C76" w:rsidP="006E4C76">
            <w:pPr>
              <w:tabs>
                <w:tab w:val="center" w:pos="4320"/>
                <w:tab w:val="right" w:pos="8640"/>
              </w:tabs>
              <w:ind w:left="0" w:firstLine="0"/>
              <w:rPr>
                <w:b/>
                <w:i/>
                <w:sz w:val="18"/>
                <w:szCs w:val="18"/>
              </w:rPr>
            </w:pPr>
            <w:r w:rsidRPr="00036A76">
              <w:rPr>
                <w:b/>
                <w:i/>
                <w:sz w:val="18"/>
                <w:szCs w:val="18"/>
              </w:rPr>
              <w:t>Domaći</w:t>
            </w:r>
          </w:p>
        </w:tc>
        <w:tc>
          <w:tcPr>
            <w:tcW w:w="1368" w:type="dxa"/>
          </w:tcPr>
          <w:p w:rsidR="006E4C76" w:rsidRPr="00036A76" w:rsidRDefault="006E4C76" w:rsidP="006E4C76">
            <w:pPr>
              <w:tabs>
                <w:tab w:val="center" w:pos="4320"/>
                <w:tab w:val="right" w:pos="8640"/>
              </w:tabs>
              <w:ind w:left="0" w:firstLine="0"/>
              <w:rPr>
                <w:b/>
                <w:i/>
                <w:sz w:val="18"/>
                <w:szCs w:val="18"/>
              </w:rPr>
            </w:pPr>
            <w:r w:rsidRPr="00036A76">
              <w:rPr>
                <w:b/>
                <w:i/>
                <w:sz w:val="18"/>
                <w:szCs w:val="18"/>
              </w:rPr>
              <w:t>Strani</w:t>
            </w:r>
          </w:p>
        </w:tc>
        <w:tc>
          <w:tcPr>
            <w:tcW w:w="1368" w:type="dxa"/>
          </w:tcPr>
          <w:p w:rsidR="006E4C76" w:rsidRPr="00036A76" w:rsidRDefault="006E4C76" w:rsidP="006E4C76">
            <w:pPr>
              <w:tabs>
                <w:tab w:val="center" w:pos="4320"/>
                <w:tab w:val="right" w:pos="8640"/>
              </w:tabs>
              <w:ind w:left="0" w:firstLine="0"/>
              <w:rPr>
                <w:b/>
                <w:i/>
                <w:sz w:val="18"/>
                <w:szCs w:val="18"/>
              </w:rPr>
            </w:pPr>
            <w:r w:rsidRPr="00036A76">
              <w:rPr>
                <w:b/>
                <w:i/>
                <w:sz w:val="18"/>
                <w:szCs w:val="18"/>
              </w:rPr>
              <w:t>Ukupno</w:t>
            </w:r>
          </w:p>
        </w:tc>
      </w:tr>
      <w:tr w:rsidR="006E4C76" w:rsidRPr="00036A76" w:rsidTr="006E4C76">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sz w:val="18"/>
                <w:szCs w:val="18"/>
              </w:rPr>
              <w:t>&lt; 5%</w:t>
            </w:r>
          </w:p>
        </w:tc>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sz w:val="18"/>
                <w:szCs w:val="18"/>
              </w:rPr>
              <w:t>35.183</w:t>
            </w:r>
          </w:p>
        </w:tc>
        <w:tc>
          <w:tcPr>
            <w:tcW w:w="1368" w:type="dxa"/>
            <w:vAlign w:val="center"/>
          </w:tcPr>
          <w:p w:rsidR="006E4C76" w:rsidRPr="00036A76" w:rsidRDefault="006E4C76" w:rsidP="006E4C76">
            <w:pPr>
              <w:tabs>
                <w:tab w:val="center" w:pos="4320"/>
                <w:tab w:val="right" w:pos="8640"/>
              </w:tabs>
              <w:ind w:left="0" w:firstLine="0"/>
              <w:jc w:val="right"/>
              <w:rPr>
                <w:sz w:val="18"/>
                <w:szCs w:val="18"/>
              </w:rPr>
            </w:pPr>
            <w:r w:rsidRPr="00036A76">
              <w:rPr>
                <w:sz w:val="18"/>
                <w:szCs w:val="18"/>
              </w:rPr>
              <w:t>245</w:t>
            </w:r>
          </w:p>
        </w:tc>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sz w:val="18"/>
                <w:szCs w:val="18"/>
              </w:rPr>
              <w:t>35.428</w:t>
            </w:r>
          </w:p>
        </w:tc>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sz w:val="18"/>
                <w:szCs w:val="18"/>
              </w:rPr>
              <w:t>68,89</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7,30</w:t>
            </w:r>
          </w:p>
        </w:tc>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b/>
                <w:i/>
                <w:sz w:val="18"/>
                <w:szCs w:val="18"/>
              </w:rPr>
              <w:t>76,19</w:t>
            </w:r>
          </w:p>
        </w:tc>
      </w:tr>
      <w:tr w:rsidR="006E4C76" w:rsidRPr="00036A76" w:rsidTr="006E4C76">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5%-10%</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vAlign w:val="center"/>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b/>
                <w:i/>
                <w:sz w:val="18"/>
                <w:szCs w:val="18"/>
              </w:rPr>
              <w:t>0</w:t>
            </w:r>
          </w:p>
        </w:tc>
      </w:tr>
      <w:tr w:rsidR="006E4C76" w:rsidRPr="00036A76" w:rsidTr="006E4C76">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10%-25%</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1</w:t>
            </w:r>
          </w:p>
        </w:tc>
        <w:tc>
          <w:tcPr>
            <w:tcW w:w="1368" w:type="dxa"/>
            <w:vAlign w:val="center"/>
          </w:tcPr>
          <w:p w:rsidR="006E4C76" w:rsidRPr="00036A76" w:rsidRDefault="006E4C76" w:rsidP="006E4C76">
            <w:pPr>
              <w:tabs>
                <w:tab w:val="center" w:pos="4320"/>
                <w:tab w:val="right" w:pos="8640"/>
              </w:tabs>
              <w:ind w:left="0" w:firstLine="0"/>
              <w:jc w:val="right"/>
              <w:rPr>
                <w:sz w:val="18"/>
                <w:szCs w:val="18"/>
              </w:rPr>
            </w:pPr>
            <w:r w:rsidRPr="00036A76">
              <w:rPr>
                <w:sz w:val="18"/>
                <w:szCs w:val="18"/>
              </w:rPr>
              <w:t>1</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2</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12,33</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11,48</w:t>
            </w:r>
          </w:p>
        </w:tc>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b/>
                <w:i/>
                <w:sz w:val="18"/>
                <w:szCs w:val="18"/>
              </w:rPr>
              <w:t>23,81</w:t>
            </w:r>
          </w:p>
        </w:tc>
      </w:tr>
      <w:tr w:rsidR="006E4C76" w:rsidRPr="00036A76" w:rsidTr="006E4C76">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&gt; 25%</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vAlign w:val="center"/>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0</w:t>
            </w:r>
          </w:p>
        </w:tc>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b/>
                <w:i/>
                <w:sz w:val="18"/>
                <w:szCs w:val="18"/>
              </w:rPr>
              <w:t>0,00</w:t>
            </w:r>
          </w:p>
        </w:tc>
      </w:tr>
      <w:tr w:rsidR="006E4C76" w:rsidRPr="00036A76" w:rsidTr="006E4C76">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Ukupno</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35.184</w:t>
            </w:r>
          </w:p>
        </w:tc>
        <w:tc>
          <w:tcPr>
            <w:tcW w:w="1368" w:type="dxa"/>
            <w:vAlign w:val="center"/>
          </w:tcPr>
          <w:p w:rsidR="006E4C76" w:rsidRPr="00036A76" w:rsidRDefault="006E4C76" w:rsidP="006E4C76">
            <w:pPr>
              <w:tabs>
                <w:tab w:val="center" w:pos="4320"/>
                <w:tab w:val="right" w:pos="8640"/>
              </w:tabs>
              <w:ind w:left="0" w:firstLine="0"/>
              <w:jc w:val="right"/>
              <w:rPr>
                <w:sz w:val="18"/>
                <w:szCs w:val="18"/>
              </w:rPr>
            </w:pPr>
            <w:r w:rsidRPr="00036A76">
              <w:rPr>
                <w:sz w:val="18"/>
                <w:szCs w:val="18"/>
              </w:rPr>
              <w:t>246</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35.430</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81,23</w:t>
            </w:r>
          </w:p>
        </w:tc>
        <w:tc>
          <w:tcPr>
            <w:tcW w:w="1368" w:type="dxa"/>
          </w:tcPr>
          <w:p w:rsidR="006E4C76" w:rsidRPr="00036A76" w:rsidRDefault="006E4C76" w:rsidP="006E4C76">
            <w:pPr>
              <w:tabs>
                <w:tab w:val="center" w:pos="4320"/>
                <w:tab w:val="right" w:pos="8640"/>
              </w:tabs>
              <w:ind w:left="0" w:firstLine="0"/>
              <w:jc w:val="right"/>
              <w:rPr>
                <w:sz w:val="18"/>
                <w:szCs w:val="18"/>
              </w:rPr>
            </w:pPr>
            <w:r w:rsidRPr="00036A76">
              <w:rPr>
                <w:sz w:val="18"/>
                <w:szCs w:val="18"/>
              </w:rPr>
              <w:t>18,77</w:t>
            </w:r>
          </w:p>
        </w:tc>
        <w:tc>
          <w:tcPr>
            <w:tcW w:w="1368" w:type="dxa"/>
          </w:tcPr>
          <w:p w:rsidR="006E4C76" w:rsidRPr="00036A76" w:rsidRDefault="006E4C76" w:rsidP="006E4C76">
            <w:pPr>
              <w:tabs>
                <w:tab w:val="center" w:pos="4320"/>
                <w:tab w:val="right" w:pos="8640"/>
              </w:tabs>
              <w:ind w:left="0" w:firstLine="0"/>
              <w:jc w:val="right"/>
              <w:rPr>
                <w:b/>
                <w:i/>
                <w:sz w:val="18"/>
                <w:szCs w:val="18"/>
              </w:rPr>
            </w:pPr>
            <w:r w:rsidRPr="00036A76">
              <w:rPr>
                <w:b/>
                <w:i/>
                <w:sz w:val="18"/>
                <w:szCs w:val="18"/>
              </w:rPr>
              <w:t>100,00</w:t>
            </w:r>
          </w:p>
        </w:tc>
      </w:tr>
    </w:tbl>
    <w:p w:rsidR="00AA52D1" w:rsidRPr="00036A76" w:rsidRDefault="00AA52D1" w:rsidP="006E4C76">
      <w:pPr>
        <w:ind w:left="0" w:firstLine="0"/>
        <w:contextualSpacing/>
        <w:jc w:val="left"/>
        <w:rPr>
          <w:sz w:val="18"/>
          <w:szCs w:val="18"/>
        </w:rPr>
      </w:pPr>
    </w:p>
    <w:p w:rsidR="003C4ADB" w:rsidRPr="00036A76" w:rsidRDefault="003C4ADB" w:rsidP="006E4C76">
      <w:pPr>
        <w:ind w:left="0" w:firstLine="0"/>
        <w:contextualSpacing/>
        <w:jc w:val="left"/>
      </w:pPr>
      <w:r w:rsidRPr="00036A76">
        <w:t>Izjavljujemo da sve akcije Fonda daju isto pravo glasa.</w:t>
      </w:r>
    </w:p>
    <w:p w:rsidR="006E4C76" w:rsidRPr="00036A76" w:rsidRDefault="003C4ADB" w:rsidP="00044856">
      <w:pPr>
        <w:ind w:left="0" w:firstLine="0"/>
        <w:contextualSpacing/>
      </w:pPr>
      <w:r w:rsidRPr="00036A76">
        <w:t xml:space="preserve">Emitent nema saznanje o postojanju kontrolnog akcionara Fonda, kao ni saznanje o izazivanju, </w:t>
      </w:r>
    </w:p>
    <w:p w:rsidR="003C4ADB" w:rsidRPr="00036A76" w:rsidRDefault="003C4ADB" w:rsidP="00044856">
      <w:pPr>
        <w:ind w:left="0" w:firstLine="0"/>
        <w:contextualSpacing/>
      </w:pPr>
      <w:r w:rsidRPr="00036A76">
        <w:t>odnosno prouzrokovanju eventualne štete za emitenta.</w:t>
      </w:r>
    </w:p>
    <w:p w:rsidR="006E4C76" w:rsidRPr="00036A76" w:rsidRDefault="003C4ADB" w:rsidP="00044856">
      <w:pPr>
        <w:ind w:left="0" w:firstLine="0"/>
        <w:contextualSpacing/>
      </w:pPr>
      <w:r w:rsidRPr="00036A76">
        <w:t xml:space="preserve">Emitent nema saznanja o postojanju kontrolnog akcionara, pa shodno navedenom ni eventualnih </w:t>
      </w:r>
    </w:p>
    <w:p w:rsidR="003C4ADB" w:rsidRPr="00036A76" w:rsidRDefault="003C4ADB" w:rsidP="00044856">
      <w:pPr>
        <w:ind w:left="0" w:firstLine="0"/>
        <w:contextualSpacing/>
      </w:pPr>
      <w:r w:rsidRPr="00036A76">
        <w:t xml:space="preserve">sporazuma sa akcionarima. </w:t>
      </w:r>
      <w:r w:rsidR="00885C2F" w:rsidRPr="00036A76">
        <w:t xml:space="preserve"> </w:t>
      </w:r>
    </w:p>
    <w:p w:rsidR="003C4ADB" w:rsidRPr="00036A76" w:rsidRDefault="003C4ADB" w:rsidP="003C4ADB">
      <w:pPr>
        <w:ind w:left="0"/>
        <w:contextualSpacing/>
        <w:jc w:val="left"/>
      </w:pPr>
    </w:p>
    <w:p w:rsidR="003C4ADB" w:rsidRPr="00036A76" w:rsidRDefault="003C4ADB" w:rsidP="00F553CF">
      <w:pPr>
        <w:pStyle w:val="ListParagraph"/>
        <w:numPr>
          <w:ilvl w:val="0"/>
          <w:numId w:val="8"/>
        </w:numPr>
        <w:jc w:val="left"/>
        <w:rPr>
          <w:b/>
          <w:sz w:val="26"/>
          <w:szCs w:val="26"/>
        </w:rPr>
      </w:pPr>
      <w:r w:rsidRPr="00036A76">
        <w:rPr>
          <w:b/>
          <w:sz w:val="26"/>
          <w:szCs w:val="26"/>
        </w:rPr>
        <w:t>T</w:t>
      </w:r>
      <w:r w:rsidR="006E4C76" w:rsidRPr="00036A76">
        <w:rPr>
          <w:b/>
          <w:sz w:val="26"/>
          <w:szCs w:val="26"/>
        </w:rPr>
        <w:t>RANSAKCIJE POVEZANIH LICA</w:t>
      </w:r>
    </w:p>
    <w:tbl>
      <w:tblPr>
        <w:tblStyle w:val="TableGrid"/>
        <w:tblW w:w="0" w:type="auto"/>
        <w:tblLook w:val="04A0"/>
      </w:tblPr>
      <w:tblGrid>
        <w:gridCol w:w="3439"/>
        <w:gridCol w:w="1356"/>
        <w:gridCol w:w="1356"/>
        <w:gridCol w:w="3425"/>
      </w:tblGrid>
      <w:tr w:rsidR="00E564BA" w:rsidRPr="00036A76" w:rsidTr="00E564BA">
        <w:tc>
          <w:tcPr>
            <w:tcW w:w="3497" w:type="dxa"/>
            <w:vMerge w:val="restart"/>
          </w:tcPr>
          <w:p w:rsidR="00E564BA" w:rsidRPr="00036A76" w:rsidRDefault="00E564BA" w:rsidP="00E564BA">
            <w:pPr>
              <w:ind w:left="0" w:firstLine="0"/>
              <w:contextualSpacing/>
              <w:jc w:val="center"/>
            </w:pPr>
            <w:r w:rsidRPr="00036A76">
              <w:t>Povezano lice</w:t>
            </w:r>
          </w:p>
        </w:tc>
        <w:tc>
          <w:tcPr>
            <w:tcW w:w="2592" w:type="dxa"/>
            <w:gridSpan w:val="2"/>
          </w:tcPr>
          <w:p w:rsidR="00E564BA" w:rsidRPr="00036A76" w:rsidRDefault="00E564BA" w:rsidP="00E564BA">
            <w:pPr>
              <w:ind w:left="0" w:firstLine="0"/>
              <w:contextualSpacing/>
              <w:jc w:val="center"/>
            </w:pPr>
            <w:r w:rsidRPr="00036A76">
              <w:t>Iznos isplate</w:t>
            </w:r>
          </w:p>
        </w:tc>
        <w:tc>
          <w:tcPr>
            <w:tcW w:w="3487" w:type="dxa"/>
            <w:vMerge w:val="restart"/>
          </w:tcPr>
          <w:p w:rsidR="00E564BA" w:rsidRPr="00036A76" w:rsidRDefault="00E564BA" w:rsidP="00E564BA">
            <w:pPr>
              <w:ind w:left="0" w:firstLine="0"/>
              <w:contextualSpacing/>
              <w:jc w:val="center"/>
            </w:pPr>
            <w:r w:rsidRPr="00036A76">
              <w:t>Svrha isplate</w:t>
            </w:r>
          </w:p>
        </w:tc>
      </w:tr>
      <w:tr w:rsidR="00E564BA" w:rsidRPr="00036A76" w:rsidTr="00E564BA">
        <w:tc>
          <w:tcPr>
            <w:tcW w:w="3497" w:type="dxa"/>
            <w:vMerge/>
          </w:tcPr>
          <w:p w:rsidR="00E564BA" w:rsidRPr="00036A76" w:rsidRDefault="00E564BA" w:rsidP="00E564BA">
            <w:pPr>
              <w:ind w:left="0" w:firstLine="0"/>
              <w:contextualSpacing/>
              <w:jc w:val="center"/>
            </w:pPr>
          </w:p>
        </w:tc>
        <w:tc>
          <w:tcPr>
            <w:tcW w:w="1296" w:type="dxa"/>
          </w:tcPr>
          <w:p w:rsidR="00E564BA" w:rsidRPr="00036A76" w:rsidRDefault="00355316" w:rsidP="00E564BA">
            <w:pPr>
              <w:ind w:left="0" w:firstLine="0"/>
              <w:contextualSpacing/>
              <w:jc w:val="center"/>
            </w:pPr>
            <w:r w:rsidRPr="00036A76">
              <w:t>31.12.</w:t>
            </w:r>
            <w:r w:rsidR="00E564BA" w:rsidRPr="00036A76">
              <w:t>2015.</w:t>
            </w:r>
          </w:p>
        </w:tc>
        <w:tc>
          <w:tcPr>
            <w:tcW w:w="1296" w:type="dxa"/>
          </w:tcPr>
          <w:p w:rsidR="00E564BA" w:rsidRPr="00036A76" w:rsidRDefault="00355316" w:rsidP="00E564BA">
            <w:pPr>
              <w:ind w:left="0" w:firstLine="0"/>
              <w:contextualSpacing/>
              <w:jc w:val="center"/>
            </w:pPr>
            <w:r w:rsidRPr="00036A76">
              <w:t>31.12.</w:t>
            </w:r>
            <w:r w:rsidR="0056304E" w:rsidRPr="00036A76">
              <w:t>2016</w:t>
            </w:r>
            <w:r w:rsidR="00E564BA" w:rsidRPr="00036A76">
              <w:t>.</w:t>
            </w:r>
          </w:p>
        </w:tc>
        <w:tc>
          <w:tcPr>
            <w:tcW w:w="3487" w:type="dxa"/>
            <w:vMerge/>
          </w:tcPr>
          <w:p w:rsidR="00E564BA" w:rsidRPr="00036A76" w:rsidRDefault="00E564BA" w:rsidP="00E564BA">
            <w:pPr>
              <w:ind w:left="0" w:firstLine="0"/>
              <w:contextualSpacing/>
              <w:jc w:val="center"/>
            </w:pPr>
          </w:p>
        </w:tc>
      </w:tr>
      <w:tr w:rsidR="00E564BA" w:rsidRPr="00036A76" w:rsidTr="00E564BA">
        <w:tc>
          <w:tcPr>
            <w:tcW w:w="3497" w:type="dxa"/>
          </w:tcPr>
          <w:p w:rsidR="00E564BA" w:rsidRPr="00036A76" w:rsidRDefault="00E564BA" w:rsidP="00E564BA">
            <w:pPr>
              <w:ind w:left="0" w:firstLine="0"/>
              <w:contextualSpacing/>
              <w:jc w:val="left"/>
            </w:pPr>
            <w:r w:rsidRPr="00036A76">
              <w:t>Društvo za upravljanje investicionim fondovima “Invest nova” a.d. Bijeljina</w:t>
            </w:r>
          </w:p>
        </w:tc>
        <w:tc>
          <w:tcPr>
            <w:tcW w:w="1296" w:type="dxa"/>
          </w:tcPr>
          <w:p w:rsidR="00E564BA" w:rsidRPr="00036A76" w:rsidRDefault="00E564BA" w:rsidP="00E564BA">
            <w:pPr>
              <w:ind w:left="0" w:firstLine="0"/>
              <w:contextualSpacing/>
              <w:jc w:val="center"/>
            </w:pPr>
            <w:r w:rsidRPr="00036A76">
              <w:t>520.238,46</w:t>
            </w:r>
          </w:p>
        </w:tc>
        <w:tc>
          <w:tcPr>
            <w:tcW w:w="1296" w:type="dxa"/>
          </w:tcPr>
          <w:p w:rsidR="00E564BA" w:rsidRPr="00036A76" w:rsidRDefault="005761E9" w:rsidP="00E564BA">
            <w:pPr>
              <w:ind w:left="0" w:firstLine="0"/>
              <w:contextualSpacing/>
              <w:jc w:val="center"/>
            </w:pPr>
            <w:r w:rsidRPr="00036A76">
              <w:t>742.497,64</w:t>
            </w:r>
          </w:p>
        </w:tc>
        <w:tc>
          <w:tcPr>
            <w:tcW w:w="3487" w:type="dxa"/>
          </w:tcPr>
          <w:p w:rsidR="00E564BA" w:rsidRPr="00036A76" w:rsidRDefault="00E564BA" w:rsidP="00E564BA">
            <w:pPr>
              <w:ind w:left="0" w:firstLine="0"/>
              <w:contextualSpacing/>
              <w:jc w:val="center"/>
            </w:pPr>
            <w:r w:rsidRPr="00036A76">
              <w:t>Upravljanje Fondom</w:t>
            </w:r>
          </w:p>
        </w:tc>
      </w:tr>
      <w:tr w:rsidR="00E564BA" w:rsidRPr="00036A76" w:rsidTr="00E564BA">
        <w:tc>
          <w:tcPr>
            <w:tcW w:w="3497" w:type="dxa"/>
          </w:tcPr>
          <w:p w:rsidR="00E564BA" w:rsidRPr="00036A76" w:rsidRDefault="00E564BA" w:rsidP="00E564BA">
            <w:pPr>
              <w:ind w:left="0" w:firstLine="0"/>
              <w:contextualSpacing/>
              <w:jc w:val="left"/>
            </w:pPr>
            <w:r w:rsidRPr="00036A76">
              <w:t>Centralni registar HOV a.d. Banja Luka</w:t>
            </w:r>
          </w:p>
        </w:tc>
        <w:tc>
          <w:tcPr>
            <w:tcW w:w="1296" w:type="dxa"/>
          </w:tcPr>
          <w:p w:rsidR="00E564BA" w:rsidRPr="00036A76" w:rsidRDefault="00E564BA" w:rsidP="00E564BA">
            <w:pPr>
              <w:ind w:left="0" w:firstLine="0"/>
              <w:contextualSpacing/>
              <w:jc w:val="center"/>
            </w:pPr>
            <w:r w:rsidRPr="00036A76">
              <w:t>26.092,00</w:t>
            </w:r>
          </w:p>
        </w:tc>
        <w:tc>
          <w:tcPr>
            <w:tcW w:w="1296" w:type="dxa"/>
          </w:tcPr>
          <w:p w:rsidR="00E564BA" w:rsidRPr="00036A76" w:rsidRDefault="005761E9" w:rsidP="00E564BA">
            <w:pPr>
              <w:ind w:left="0" w:firstLine="0"/>
              <w:contextualSpacing/>
              <w:jc w:val="center"/>
            </w:pPr>
            <w:r w:rsidRPr="00036A76">
              <w:t>18.606,89</w:t>
            </w:r>
          </w:p>
        </w:tc>
        <w:tc>
          <w:tcPr>
            <w:tcW w:w="3487" w:type="dxa"/>
          </w:tcPr>
          <w:p w:rsidR="00E564BA" w:rsidRPr="00036A76" w:rsidRDefault="00E564BA" w:rsidP="00E564BA">
            <w:pPr>
              <w:ind w:left="0" w:firstLine="0"/>
              <w:contextualSpacing/>
              <w:jc w:val="center"/>
            </w:pPr>
            <w:r w:rsidRPr="00036A76">
              <w:t>Depozitar Fonda</w:t>
            </w:r>
          </w:p>
        </w:tc>
      </w:tr>
      <w:tr w:rsidR="00E564BA" w:rsidRPr="00036A76" w:rsidTr="00E564BA">
        <w:tc>
          <w:tcPr>
            <w:tcW w:w="3497" w:type="dxa"/>
          </w:tcPr>
          <w:p w:rsidR="00E564BA" w:rsidRPr="00036A76" w:rsidRDefault="00E564BA" w:rsidP="00E564BA">
            <w:pPr>
              <w:ind w:left="0" w:firstLine="0"/>
              <w:contextualSpacing/>
              <w:jc w:val="left"/>
            </w:pPr>
            <w:r w:rsidRPr="00036A76">
              <w:t>Nadzorni odbor Fonda</w:t>
            </w:r>
          </w:p>
        </w:tc>
        <w:tc>
          <w:tcPr>
            <w:tcW w:w="1296" w:type="dxa"/>
          </w:tcPr>
          <w:p w:rsidR="00E564BA" w:rsidRPr="00036A76" w:rsidRDefault="00E564BA" w:rsidP="00E564BA">
            <w:pPr>
              <w:ind w:left="0" w:firstLine="0"/>
              <w:contextualSpacing/>
              <w:jc w:val="center"/>
            </w:pPr>
            <w:r w:rsidRPr="00036A76">
              <w:t>31.841,00</w:t>
            </w:r>
          </w:p>
        </w:tc>
        <w:tc>
          <w:tcPr>
            <w:tcW w:w="1296" w:type="dxa"/>
          </w:tcPr>
          <w:p w:rsidR="00E564BA" w:rsidRPr="00036A76" w:rsidRDefault="00E564BA" w:rsidP="00E564BA">
            <w:pPr>
              <w:ind w:left="0" w:firstLine="0"/>
              <w:contextualSpacing/>
              <w:jc w:val="center"/>
            </w:pPr>
            <w:r w:rsidRPr="00036A76">
              <w:t>31.841,00</w:t>
            </w:r>
          </w:p>
        </w:tc>
        <w:tc>
          <w:tcPr>
            <w:tcW w:w="3487" w:type="dxa"/>
          </w:tcPr>
          <w:p w:rsidR="00E564BA" w:rsidRPr="00036A76" w:rsidRDefault="00E564BA" w:rsidP="00E564BA">
            <w:pPr>
              <w:ind w:left="0" w:firstLine="0"/>
              <w:contextualSpacing/>
              <w:jc w:val="center"/>
            </w:pPr>
            <w:r w:rsidRPr="00036A76">
              <w:t>Naknade NO Fonda</w:t>
            </w:r>
          </w:p>
        </w:tc>
      </w:tr>
      <w:tr w:rsidR="00E564BA" w:rsidRPr="00036A76" w:rsidTr="00E564BA">
        <w:tc>
          <w:tcPr>
            <w:tcW w:w="3497" w:type="dxa"/>
          </w:tcPr>
          <w:p w:rsidR="00E564BA" w:rsidRPr="00036A76" w:rsidRDefault="00E564BA" w:rsidP="00E564BA">
            <w:pPr>
              <w:ind w:left="0" w:firstLine="0"/>
              <w:contextualSpacing/>
              <w:jc w:val="left"/>
            </w:pPr>
            <w:r w:rsidRPr="00036A76">
              <w:t>Revidere d.o.o. Bijeljina</w:t>
            </w:r>
          </w:p>
        </w:tc>
        <w:tc>
          <w:tcPr>
            <w:tcW w:w="1296" w:type="dxa"/>
          </w:tcPr>
          <w:p w:rsidR="00E564BA" w:rsidRPr="00036A76" w:rsidRDefault="00E564BA" w:rsidP="00E564BA">
            <w:pPr>
              <w:ind w:left="0" w:firstLine="0"/>
              <w:contextualSpacing/>
              <w:jc w:val="center"/>
            </w:pPr>
            <w:r w:rsidRPr="00036A76">
              <w:t>1.755,00</w:t>
            </w:r>
          </w:p>
        </w:tc>
        <w:tc>
          <w:tcPr>
            <w:tcW w:w="1296" w:type="dxa"/>
          </w:tcPr>
          <w:p w:rsidR="00E564BA" w:rsidRPr="00036A76" w:rsidRDefault="00C63B1F" w:rsidP="00E564BA">
            <w:pPr>
              <w:ind w:left="0" w:firstLine="0"/>
              <w:contextualSpacing/>
              <w:jc w:val="center"/>
            </w:pPr>
            <w:r w:rsidRPr="00036A76">
              <w:t>1.642,60</w:t>
            </w:r>
          </w:p>
        </w:tc>
        <w:tc>
          <w:tcPr>
            <w:tcW w:w="3487" w:type="dxa"/>
          </w:tcPr>
          <w:p w:rsidR="00E564BA" w:rsidRPr="00036A76" w:rsidRDefault="00E564BA" w:rsidP="00E564BA">
            <w:pPr>
              <w:ind w:left="0" w:firstLine="0"/>
              <w:contextualSpacing/>
              <w:jc w:val="center"/>
            </w:pPr>
            <w:r w:rsidRPr="00036A76">
              <w:t>Usluga eksterne revizije</w:t>
            </w:r>
          </w:p>
        </w:tc>
      </w:tr>
      <w:tr w:rsidR="00E564BA" w:rsidRPr="00036A76" w:rsidTr="00E564BA">
        <w:tc>
          <w:tcPr>
            <w:tcW w:w="3497" w:type="dxa"/>
          </w:tcPr>
          <w:p w:rsidR="00E564BA" w:rsidRPr="00036A76" w:rsidRDefault="00E564BA" w:rsidP="00E564BA">
            <w:pPr>
              <w:ind w:left="0" w:firstLine="0"/>
              <w:contextualSpacing/>
              <w:jc w:val="left"/>
            </w:pPr>
            <w:r w:rsidRPr="00036A76">
              <w:t>Banjalučka berza a.d. Banja Luka</w:t>
            </w:r>
          </w:p>
        </w:tc>
        <w:tc>
          <w:tcPr>
            <w:tcW w:w="1296" w:type="dxa"/>
          </w:tcPr>
          <w:p w:rsidR="00E564BA" w:rsidRPr="00036A76" w:rsidRDefault="00E564BA" w:rsidP="00E564BA">
            <w:pPr>
              <w:ind w:left="0" w:firstLine="0"/>
              <w:contextualSpacing/>
              <w:jc w:val="center"/>
            </w:pPr>
            <w:r w:rsidRPr="00036A76">
              <w:t>4.000,00</w:t>
            </w:r>
          </w:p>
        </w:tc>
        <w:tc>
          <w:tcPr>
            <w:tcW w:w="1296" w:type="dxa"/>
          </w:tcPr>
          <w:p w:rsidR="00E564BA" w:rsidRPr="00036A76" w:rsidRDefault="00682474" w:rsidP="00E564BA">
            <w:pPr>
              <w:ind w:left="0" w:firstLine="0"/>
              <w:contextualSpacing/>
              <w:jc w:val="center"/>
            </w:pPr>
            <w:r w:rsidRPr="00036A76">
              <w:t>3.620</w:t>
            </w:r>
            <w:r w:rsidR="00E564BA" w:rsidRPr="00036A76">
              <w:t>,00</w:t>
            </w:r>
          </w:p>
        </w:tc>
        <w:tc>
          <w:tcPr>
            <w:tcW w:w="3487" w:type="dxa"/>
          </w:tcPr>
          <w:p w:rsidR="00E564BA" w:rsidRPr="00036A76" w:rsidRDefault="00E564BA" w:rsidP="00E564BA">
            <w:pPr>
              <w:ind w:left="0" w:firstLine="0"/>
              <w:contextualSpacing/>
              <w:jc w:val="center"/>
            </w:pPr>
            <w:r w:rsidRPr="00036A76">
              <w:t>Naknada Berze</w:t>
            </w:r>
          </w:p>
        </w:tc>
      </w:tr>
      <w:tr w:rsidR="00E564BA" w:rsidRPr="00036A76" w:rsidTr="00E564BA">
        <w:tc>
          <w:tcPr>
            <w:tcW w:w="3497" w:type="dxa"/>
          </w:tcPr>
          <w:p w:rsidR="00E564BA" w:rsidRPr="00036A76" w:rsidRDefault="00E564BA" w:rsidP="00E564BA">
            <w:pPr>
              <w:ind w:left="0" w:firstLine="0"/>
              <w:contextualSpacing/>
              <w:jc w:val="left"/>
            </w:pPr>
            <w:r w:rsidRPr="00036A76">
              <w:t>Advokat Miljkan Pucar</w:t>
            </w:r>
          </w:p>
        </w:tc>
        <w:tc>
          <w:tcPr>
            <w:tcW w:w="1296" w:type="dxa"/>
          </w:tcPr>
          <w:p w:rsidR="00E564BA" w:rsidRPr="00036A76" w:rsidRDefault="00E564BA" w:rsidP="00E564BA">
            <w:pPr>
              <w:ind w:left="0" w:firstLine="0"/>
              <w:contextualSpacing/>
              <w:jc w:val="center"/>
            </w:pPr>
            <w:r w:rsidRPr="00036A76">
              <w:t>1.009,70</w:t>
            </w:r>
          </w:p>
        </w:tc>
        <w:tc>
          <w:tcPr>
            <w:tcW w:w="1296" w:type="dxa"/>
          </w:tcPr>
          <w:p w:rsidR="00E564BA" w:rsidRPr="00036A76" w:rsidRDefault="00E564BA" w:rsidP="00E564BA">
            <w:pPr>
              <w:ind w:left="0" w:firstLine="0"/>
              <w:contextualSpacing/>
              <w:jc w:val="center"/>
            </w:pPr>
            <w:r w:rsidRPr="00036A76">
              <w:t>0,00</w:t>
            </w:r>
          </w:p>
        </w:tc>
        <w:tc>
          <w:tcPr>
            <w:tcW w:w="3487" w:type="dxa"/>
          </w:tcPr>
          <w:p w:rsidR="00E564BA" w:rsidRPr="00036A76" w:rsidRDefault="00E564BA" w:rsidP="00E564BA">
            <w:pPr>
              <w:ind w:left="0" w:firstLine="0"/>
              <w:contextualSpacing/>
              <w:jc w:val="center"/>
            </w:pPr>
            <w:r w:rsidRPr="00036A76">
              <w:t>Usluge advokata</w:t>
            </w:r>
          </w:p>
        </w:tc>
      </w:tr>
    </w:tbl>
    <w:p w:rsidR="006E4C76" w:rsidRPr="00036A76" w:rsidRDefault="006E4C76" w:rsidP="006E4C76">
      <w:pPr>
        <w:ind w:left="0"/>
        <w:contextualSpacing/>
        <w:jc w:val="left"/>
        <w:rPr>
          <w:color w:val="FF0000"/>
        </w:rPr>
      </w:pPr>
    </w:p>
    <w:p w:rsidR="006E4C76" w:rsidRPr="00036A76" w:rsidRDefault="006E4C76" w:rsidP="00F553CF">
      <w:pPr>
        <w:pStyle w:val="ListParagraph"/>
        <w:numPr>
          <w:ilvl w:val="0"/>
          <w:numId w:val="8"/>
        </w:numPr>
        <w:jc w:val="left"/>
        <w:rPr>
          <w:b/>
        </w:rPr>
      </w:pPr>
      <w:r w:rsidRPr="00036A76">
        <w:rPr>
          <w:b/>
        </w:rPr>
        <w:t>FINANSIJSKI PODACI O IMOVINI, OBAVEZAMA, FINANSIJSKOM POLOŽAJU, KAO I DOBICIMA I GUBICIMA EMITENTA</w:t>
      </w:r>
    </w:p>
    <w:p w:rsidR="00D05C12" w:rsidRPr="00036A76" w:rsidRDefault="00A8616E" w:rsidP="00B3790D">
      <w:pPr>
        <w:ind w:left="0" w:firstLine="0"/>
        <w:contextualSpacing/>
        <w:jc w:val="left"/>
      </w:pPr>
      <w:r w:rsidRPr="00036A76">
        <w:t xml:space="preserve"> </w:t>
      </w:r>
    </w:p>
    <w:p w:rsidR="00C14A96" w:rsidRPr="00036A76" w:rsidRDefault="00C14A96" w:rsidP="003C4ADB">
      <w:pPr>
        <w:ind w:left="0"/>
        <w:contextualSpacing/>
        <w:jc w:val="left"/>
      </w:pPr>
    </w:p>
    <w:p w:rsidR="00A8616E" w:rsidRPr="00036A76" w:rsidRDefault="00A8616E" w:rsidP="003C4ADB">
      <w:pPr>
        <w:ind w:left="0"/>
        <w:contextualSpacing/>
        <w:jc w:val="left"/>
      </w:pPr>
    </w:p>
    <w:p w:rsidR="006E4C76" w:rsidRPr="00036A76" w:rsidRDefault="00D05C12" w:rsidP="00B3790D">
      <w:pPr>
        <w:ind w:left="-450" w:firstLine="0"/>
        <w:contextualSpacing/>
        <w:jc w:val="left"/>
      </w:pPr>
      <w:r w:rsidRPr="00036A76">
        <w:t>Bilans stanja</w:t>
      </w:r>
      <w:r w:rsidR="00044856" w:rsidRPr="00036A76">
        <w:t xml:space="preserve"> investicionog F</w:t>
      </w:r>
      <w:r w:rsidR="00E62AAB" w:rsidRPr="00036A76">
        <w:t>onda – izvješta</w:t>
      </w:r>
      <w:r w:rsidR="00044856" w:rsidRPr="00036A76">
        <w:t>j o finansijskom položaju F</w:t>
      </w:r>
      <w:r w:rsidR="00B3790D" w:rsidRPr="00036A76">
        <w:t>onda na dan 31.12.2016</w:t>
      </w:r>
      <w:r w:rsidR="00E62AAB" w:rsidRPr="00036A76">
        <w:t>. godine</w:t>
      </w:r>
    </w:p>
    <w:p w:rsidR="00B3790D" w:rsidRPr="00036A76" w:rsidRDefault="00B3790D" w:rsidP="00B3790D">
      <w:pPr>
        <w:ind w:left="-450" w:firstLine="0"/>
        <w:contextualSpacing/>
        <w:jc w:val="left"/>
      </w:pPr>
    </w:p>
    <w:tbl>
      <w:tblPr>
        <w:tblW w:w="8845" w:type="dxa"/>
        <w:tblInd w:w="93" w:type="dxa"/>
        <w:tblLook w:val="04A0"/>
      </w:tblPr>
      <w:tblGrid>
        <w:gridCol w:w="1150"/>
        <w:gridCol w:w="4483"/>
        <w:gridCol w:w="1146"/>
        <w:gridCol w:w="1220"/>
        <w:gridCol w:w="1106"/>
      </w:tblGrid>
      <w:tr w:rsidR="00B3790D" w:rsidRPr="00036A76" w:rsidTr="00B3790D">
        <w:trPr>
          <w:trHeight w:val="657"/>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Grupa računa/račun</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Pozicija</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AOP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Tekuća godina</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Prethodna godina</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4483"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1220"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w:t>
            </w:r>
          </w:p>
        </w:tc>
        <w:tc>
          <w:tcPr>
            <w:tcW w:w="1001"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A. UKUPNA IMOVINA (002+003+010+018+019)</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001</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23.825.108</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26.957.243</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100 do 102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 - Gotovina i gotovinski ekvivalenti</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002</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602.491</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510.154</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 - Ulaganja fonda (004 do 008)</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003</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23.187.751</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26.434.612</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200 do 205</w:t>
            </w:r>
          </w:p>
        </w:tc>
        <w:tc>
          <w:tcPr>
            <w:tcW w:w="4483"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Ulaganja fonda u finansijska sredstva po fer vrijednosti kroz bilans uspjeha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004</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12.051.861</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15.410.131</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210 do 215</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Ulaganja fonda u finansijska sredstva raspoloživa za prodaju</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005</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11.135.890</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11.024.481</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220 do 225</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Ulaganja fonda u finansijska sredstva koja se drži do roka dospijeća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006</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230 do 235</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4. Depoziti i plasmani</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007</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5. Ostala ulaganja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008</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III - Potraživanja (010 do 015)</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009</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22.267</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300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Potraživanja po osnovu prodaje HOV</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010</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301</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Potraživanja po osnovu kamata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011</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2.904</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302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3. Potraživanja po osnovu </w:t>
            </w:r>
            <w:r w:rsidR="007E0ECA" w:rsidRPr="00036A76">
              <w:rPr>
                <w:rFonts w:ascii="Arial" w:eastAsia="Times New Roman" w:hAnsi="Arial" w:cs="Arial"/>
                <w:sz w:val="16"/>
                <w:szCs w:val="16"/>
              </w:rPr>
              <w:t>dividend</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012</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303</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4. Potraživanja po osnovu datih avansa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013</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309</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5. Ostala potraživanja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014</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19.363</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310 do 312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6. Potraživanja od društva za upravljanje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015</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320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IV - Odložena poreska sredstva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016</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33</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xml:space="preserve">V </w:t>
            </w:r>
            <w:r w:rsidR="007E0ECA" w:rsidRPr="00036A76">
              <w:rPr>
                <w:rFonts w:ascii="Arial" w:eastAsia="Times New Roman" w:hAnsi="Arial" w:cs="Arial"/>
                <w:b/>
                <w:bCs/>
                <w:sz w:val="16"/>
                <w:szCs w:val="16"/>
              </w:rPr>
              <w:t>–</w:t>
            </w:r>
            <w:r w:rsidRPr="00036A76">
              <w:rPr>
                <w:rFonts w:ascii="Arial" w:eastAsia="Times New Roman" w:hAnsi="Arial" w:cs="Arial"/>
                <w:b/>
                <w:bCs/>
                <w:sz w:val="16"/>
                <w:szCs w:val="16"/>
              </w:rPr>
              <w:t xml:space="preserve"> AVR</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017</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12.599</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12.477</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B. OBAVEZE (019+023+029+032+035+038+039+040)</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018</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1.332.217</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1.945.767</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 - Obaveze po osnovu poslovanja (020 do 022)</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019</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1.982</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400,401</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Obaveze po osnovu ulaganja u HOV</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020</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1.982</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lastRenderedPageBreak/>
              <w:t>402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Obaveze po osnovu ulaganja u repo poslove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021</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403</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Ostale obaveze po osnovu ulaganja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022</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41</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 - Obaveze po osnovu troškova poslovanja (024 do 028)</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023</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8.272</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12.718</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410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Obaveze prema banci depozitaru</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024</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1.082</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1.000</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413</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Obaveze po osnovu otkupa udjela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025</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414</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Obaveze za učešće u dobitku</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026</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415</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4. Obaveze za porez na dobit</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027</w:t>
            </w:r>
          </w:p>
        </w:tc>
        <w:tc>
          <w:tcPr>
            <w:tcW w:w="1220"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411,412,419</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5. Ostale obaveze iz poslovanja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028</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7.190</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11.718</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III - Obaveze prema društvu za upravljanje (030+031)</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029</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1.200.169</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1.784.222</w:t>
            </w:r>
          </w:p>
        </w:tc>
      </w:tr>
      <w:tr w:rsidR="00B3790D" w:rsidRPr="00036A76" w:rsidTr="00B3790D">
        <w:trPr>
          <w:trHeight w:val="657"/>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420 do 429 bez 422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1. Obaveze prema društvu za upravljanje </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030</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1.200.169</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422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Obaveza za ulaznu i izlaznu naknadu</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031</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43</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IV - Kratkoročne finansijske obaveze (033+034)</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032</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430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Kratkoročni krediti</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033</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431,439</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Ostale kratkoročne fiinansijske obaveze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034</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44</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 - Dugoročne obaveze (036+037)</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035</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440,441</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Dugoročni krediti</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036</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449</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Ostale dugoročne obaveze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037</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450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VI - Ostale obaveze fonda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038</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460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VII - Odložene poreske obaveze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039</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47</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xml:space="preserve">VIII </w:t>
            </w:r>
            <w:r w:rsidR="007E0ECA" w:rsidRPr="00036A76">
              <w:rPr>
                <w:rFonts w:ascii="Arial" w:eastAsia="Times New Roman" w:hAnsi="Arial" w:cs="Arial"/>
                <w:b/>
                <w:bCs/>
                <w:sz w:val="16"/>
                <w:szCs w:val="16"/>
              </w:rPr>
              <w:t>–</w:t>
            </w:r>
            <w:r w:rsidRPr="00036A76">
              <w:rPr>
                <w:rFonts w:ascii="Arial" w:eastAsia="Times New Roman" w:hAnsi="Arial" w:cs="Arial"/>
                <w:b/>
                <w:bCs/>
                <w:sz w:val="16"/>
                <w:szCs w:val="16"/>
              </w:rPr>
              <w:t xml:space="preserve"> PVR</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040</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123.776</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146.845</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 NETO IMOVINA FONDA (001-018)</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041</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22.492.891</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25.011.476</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483"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G. KAPITAL (043+046+049+053+054-057</w:t>
            </w:r>
            <w:r w:rsidRPr="00036A76">
              <w:rPr>
                <w:rFonts w:ascii="Arial" w:eastAsia="Times New Roman" w:hAnsi="Arial" w:cs="Arial"/>
                <w:b/>
                <w:bCs/>
                <w:sz w:val="16"/>
                <w:szCs w:val="16"/>
                <w:u w:val="single"/>
              </w:rPr>
              <w:t>+-</w:t>
            </w:r>
            <w:r w:rsidRPr="00036A76">
              <w:rPr>
                <w:rFonts w:ascii="Arial" w:eastAsia="Times New Roman" w:hAnsi="Arial" w:cs="Arial"/>
                <w:b/>
                <w:bCs/>
                <w:sz w:val="16"/>
                <w:szCs w:val="16"/>
              </w:rPr>
              <w:t>060)</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042</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22.492.891</w:t>
            </w:r>
          </w:p>
        </w:tc>
        <w:tc>
          <w:tcPr>
            <w:tcW w:w="1001" w:type="dxa"/>
            <w:tcBorders>
              <w:top w:val="nil"/>
              <w:left w:val="nil"/>
              <w:bottom w:val="single" w:sz="4" w:space="0" w:color="auto"/>
              <w:right w:val="nil"/>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25.011.476</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51</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 - Osnovni kapital (044+045)</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043</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510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Akcijski kapital - redovne akcije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044</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512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Udjeli</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045</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52</w:t>
            </w:r>
          </w:p>
        </w:tc>
        <w:tc>
          <w:tcPr>
            <w:tcW w:w="4483" w:type="dxa"/>
            <w:tcBorders>
              <w:top w:val="nil"/>
              <w:left w:val="nil"/>
              <w:bottom w:val="nil"/>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 - Kapitalne rezerve (047+048)</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046</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2.619.595</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2.619.595</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520</w:t>
            </w:r>
          </w:p>
        </w:tc>
        <w:tc>
          <w:tcPr>
            <w:tcW w:w="4483" w:type="dxa"/>
            <w:tcBorders>
              <w:top w:val="single" w:sz="4" w:space="0" w:color="auto"/>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Emisiona premija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047</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521</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2. Ostale kapitalne </w:t>
            </w:r>
            <w:r w:rsidR="007E0ECA" w:rsidRPr="00036A76">
              <w:rPr>
                <w:rFonts w:ascii="Arial" w:eastAsia="Times New Roman" w:hAnsi="Arial" w:cs="Arial"/>
                <w:sz w:val="16"/>
                <w:szCs w:val="16"/>
              </w:rPr>
              <w:t>reserve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048</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2.619.595</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2.619.595</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53</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III - Revalorizacione rezerve (050 do 052)</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049</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-42.055.228</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-45.888.357</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530</w:t>
            </w:r>
          </w:p>
        </w:tc>
        <w:tc>
          <w:tcPr>
            <w:tcW w:w="4483"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Revalorizacione rezerve po osnovu revalorizacije finansijskih sred. raspoloživih za prodaju</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050</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-42.055.228</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-45.888.357</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531</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Revalorizacione rezerve po osnovu instrumenata zaštite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051</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532</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3. Ostale revalorizacione </w:t>
            </w:r>
            <w:r w:rsidR="007E0ECA" w:rsidRPr="00036A76">
              <w:rPr>
                <w:rFonts w:ascii="Arial" w:eastAsia="Times New Roman" w:hAnsi="Arial" w:cs="Arial"/>
                <w:sz w:val="16"/>
                <w:szCs w:val="16"/>
              </w:rPr>
              <w:t>reserve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052</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54</w:t>
            </w:r>
          </w:p>
        </w:tc>
        <w:tc>
          <w:tcPr>
            <w:tcW w:w="4483"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IV - Rezerve iz dobiti</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053</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55</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 - Neraspoređena dobi (055+056)</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054</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550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Neraspoređeni dobitak ranijih godina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055</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551</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Neraspoređeni dobitak tekuće godine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056</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56</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VI - Nepokriveni gubitak (058+059)</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057</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107.160.885</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103.818.590</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560</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Nepokriveni gubitak ranijih godina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058</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103.818.590</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103.223.288</w:t>
            </w:r>
          </w:p>
        </w:tc>
      </w:tr>
      <w:tr w:rsidR="00B3790D" w:rsidRPr="00036A76" w:rsidTr="00B3790D">
        <w:trPr>
          <w:trHeight w:val="248"/>
        </w:trPr>
        <w:tc>
          <w:tcPr>
            <w:tcW w:w="995" w:type="dxa"/>
            <w:tcBorders>
              <w:top w:val="nil"/>
              <w:left w:val="single" w:sz="4" w:space="0" w:color="auto"/>
              <w:bottom w:val="nil"/>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561</w:t>
            </w:r>
          </w:p>
        </w:tc>
        <w:tc>
          <w:tcPr>
            <w:tcW w:w="4483" w:type="dxa"/>
            <w:tcBorders>
              <w:top w:val="nil"/>
              <w:left w:val="nil"/>
              <w:bottom w:val="nil"/>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Nepokriveni gubitak tekuće godine</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059</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3.342.295</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595.302</w:t>
            </w:r>
          </w:p>
        </w:tc>
      </w:tr>
      <w:tr w:rsidR="00B3790D" w:rsidRPr="00036A76" w:rsidTr="00B3790D">
        <w:trPr>
          <w:trHeight w:val="248"/>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57</w:t>
            </w:r>
          </w:p>
        </w:tc>
        <w:tc>
          <w:tcPr>
            <w:tcW w:w="4483" w:type="dxa"/>
            <w:tcBorders>
              <w:top w:val="single" w:sz="4" w:space="0" w:color="auto"/>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VII - Nerealizovani dobitak/gubitak (061+062)</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060</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-18.101.878</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-15.092.459</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570</w:t>
            </w:r>
          </w:p>
        </w:tc>
        <w:tc>
          <w:tcPr>
            <w:tcW w:w="4483"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Nerealizovani dobici po osnovu finansijskih sredstva po fer vrijednosti kroz bilans uspjeha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061</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571</w:t>
            </w:r>
          </w:p>
        </w:tc>
        <w:tc>
          <w:tcPr>
            <w:tcW w:w="4483"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Nerealizovani gubici  po osnovu finansijskih sredstva po fer vrijednosti kroz bilans uspjeha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062</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-18.101.878</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-15.092.459</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4483"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D. BROJ EMITOVANIH AKCIJA/UDJELA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063</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4483"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Đ. NETO IMOVINA PO UDJELU/AKCIJI (041/063)</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064</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0,12</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0,13</w:t>
            </w:r>
          </w:p>
        </w:tc>
      </w:tr>
      <w:tr w:rsidR="00B3790D" w:rsidRPr="00036A76" w:rsidTr="00B3790D">
        <w:trPr>
          <w:trHeight w:val="43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lastRenderedPageBreak/>
              <w:t> </w:t>
            </w:r>
          </w:p>
        </w:tc>
        <w:tc>
          <w:tcPr>
            <w:tcW w:w="4483"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xml:space="preserve">E. VANBILANSNE EVIDENCIJE                                                                                              </w:t>
            </w:r>
            <w:r w:rsidRPr="00036A76">
              <w:rPr>
                <w:rFonts w:ascii="Arial" w:eastAsia="Times New Roman" w:hAnsi="Arial" w:cs="Arial"/>
                <w:sz w:val="16"/>
                <w:szCs w:val="16"/>
              </w:rPr>
              <w:t xml:space="preserve"> 1. Vanbilansna aktiva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065</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20"/>
                <w:szCs w:val="20"/>
              </w:rPr>
            </w:pPr>
            <w:r w:rsidRPr="00036A76">
              <w:rPr>
                <w:rFonts w:ascii="Arial" w:eastAsia="Times New Roman" w:hAnsi="Arial" w:cs="Arial"/>
                <w:sz w:val="20"/>
                <w:szCs w:val="20"/>
              </w:rPr>
              <w:t> </w:t>
            </w:r>
          </w:p>
        </w:tc>
        <w:tc>
          <w:tcPr>
            <w:tcW w:w="448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Vanbilansna pasiva</w:t>
            </w:r>
          </w:p>
        </w:tc>
        <w:tc>
          <w:tcPr>
            <w:tcW w:w="1146"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066</w:t>
            </w:r>
          </w:p>
        </w:tc>
        <w:tc>
          <w:tcPr>
            <w:tcW w:w="1220"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20"/>
                <w:szCs w:val="20"/>
              </w:rPr>
            </w:pPr>
            <w:r w:rsidRPr="00036A76">
              <w:rPr>
                <w:rFonts w:ascii="Arial" w:eastAsia="Times New Roman" w:hAnsi="Arial" w:cs="Arial"/>
                <w:sz w:val="20"/>
                <w:szCs w:val="20"/>
              </w:rPr>
              <w:t> </w:t>
            </w:r>
          </w:p>
        </w:tc>
      </w:tr>
    </w:tbl>
    <w:p w:rsidR="00B3790D" w:rsidRPr="00036A76" w:rsidRDefault="00B3790D" w:rsidP="00B3790D">
      <w:pPr>
        <w:ind w:left="-450" w:firstLine="0"/>
        <w:contextualSpacing/>
        <w:jc w:val="left"/>
      </w:pPr>
    </w:p>
    <w:p w:rsidR="00B3790D" w:rsidRPr="00036A76" w:rsidRDefault="00B3790D" w:rsidP="003C4ADB">
      <w:pPr>
        <w:ind w:left="0"/>
        <w:contextualSpacing/>
        <w:jc w:val="left"/>
      </w:pPr>
    </w:p>
    <w:p w:rsidR="00D05C12" w:rsidRPr="00036A76" w:rsidRDefault="00D05C12" w:rsidP="003C4ADB">
      <w:pPr>
        <w:ind w:left="0"/>
        <w:contextualSpacing/>
        <w:jc w:val="left"/>
      </w:pPr>
      <w:r w:rsidRPr="00036A76">
        <w:t>Bilans uspjeha</w:t>
      </w:r>
      <w:r w:rsidR="00044856" w:rsidRPr="00036A76">
        <w:t xml:space="preserve"> investicionog F</w:t>
      </w:r>
      <w:r w:rsidR="00E62AAB" w:rsidRPr="00036A76">
        <w:t xml:space="preserve">onda – izvještaj o ukupnom rezultatu u periodu od </w:t>
      </w:r>
    </w:p>
    <w:p w:rsidR="00E62AAB" w:rsidRPr="00036A76" w:rsidRDefault="00B3790D" w:rsidP="003C4ADB">
      <w:pPr>
        <w:ind w:left="0"/>
        <w:contextualSpacing/>
        <w:jc w:val="left"/>
      </w:pPr>
      <w:r w:rsidRPr="00036A76">
        <w:t>01.01.2016. godine do 31.12.2016</w:t>
      </w:r>
      <w:r w:rsidR="00E62AAB" w:rsidRPr="00036A76">
        <w:t>. godine</w:t>
      </w:r>
    </w:p>
    <w:tbl>
      <w:tblPr>
        <w:tblW w:w="9105" w:type="dxa"/>
        <w:tblInd w:w="93" w:type="dxa"/>
        <w:tblLook w:val="04A0"/>
      </w:tblPr>
      <w:tblGrid>
        <w:gridCol w:w="1150"/>
        <w:gridCol w:w="4889"/>
        <w:gridCol w:w="902"/>
        <w:gridCol w:w="1203"/>
        <w:gridCol w:w="961"/>
      </w:tblGrid>
      <w:tr w:rsidR="00B3790D" w:rsidRPr="00036A76" w:rsidTr="00B3790D">
        <w:trPr>
          <w:trHeight w:val="657"/>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Grupa računa/račun</w:t>
            </w:r>
          </w:p>
        </w:tc>
        <w:tc>
          <w:tcPr>
            <w:tcW w:w="4889" w:type="dxa"/>
            <w:tcBorders>
              <w:top w:val="single" w:sz="4" w:space="0" w:color="auto"/>
              <w:left w:val="nil"/>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Pozicija</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AOP</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Tekuća godina</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Prethodna godina</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4889"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1203"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5</w:t>
            </w:r>
          </w:p>
        </w:tc>
        <w:tc>
          <w:tcPr>
            <w:tcW w:w="961"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A. REALIZOVANI PRIHODI I RASHODI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201</w:t>
            </w:r>
          </w:p>
        </w:tc>
        <w:tc>
          <w:tcPr>
            <w:tcW w:w="1203"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 - Poslovni prihodi (203 do 206)</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202</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1.101.605</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1.487.647</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700</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1. Prihodi od </w:t>
            </w:r>
            <w:r w:rsidR="007E0ECA" w:rsidRPr="00036A76">
              <w:rPr>
                <w:rFonts w:ascii="Arial" w:eastAsia="Times New Roman" w:hAnsi="Arial" w:cs="Arial"/>
                <w:sz w:val="16"/>
                <w:szCs w:val="16"/>
              </w:rPr>
              <w:t>dividend</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203</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768.504</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1.206.445</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701</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2. Prihodi od kamata </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204</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333.101</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281.202</w:t>
            </w:r>
          </w:p>
        </w:tc>
      </w:tr>
      <w:tr w:rsidR="00B3790D" w:rsidRPr="00036A76" w:rsidTr="00B3790D">
        <w:trPr>
          <w:trHeight w:val="306"/>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702</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Amortizacija premije (diskonta) po osnovu HOV sa rokom dospjeća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205</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709</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4. Ostali poslovni prihodi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206</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 - Realizovani dobitak (208 do 210)</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207</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9.979</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710</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Realizovani dobici po osnovu prodaje hartija od vrijednosti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208</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9.979</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711</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2. Realizovani dobitak po osnovu kursnih razlika </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209</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719</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Ostali realizovani dobici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210</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73</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III - Poslovni rashodi (212 do 218)</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211</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227.564</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527.591</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600</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Naknada društvu za upravljanje</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212</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158.445</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442.824</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601</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Troškovi kupovine i prodaje ulaganja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213</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1.131</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2.865</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602</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Rashodi po osnovu kamata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214</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603</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4. Naknada članovima Nadzornog odbora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215</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21.393</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31.841</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605</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5. Naknada banci depozitaru</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216</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12.689</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26.092</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607</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6. Rashodi po osnovu poreza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217</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604,606, 609</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7. Ostali poslovni rashodi fonda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218</w:t>
            </w:r>
          </w:p>
        </w:tc>
        <w:tc>
          <w:tcPr>
            <w:tcW w:w="1203"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33.906</w:t>
            </w:r>
          </w:p>
        </w:tc>
        <w:tc>
          <w:tcPr>
            <w:tcW w:w="961" w:type="dxa"/>
            <w:tcBorders>
              <w:top w:val="nil"/>
              <w:left w:val="nil"/>
              <w:bottom w:val="single" w:sz="4" w:space="0" w:color="auto"/>
              <w:right w:val="single" w:sz="4" w:space="0" w:color="auto"/>
            </w:tcBorders>
            <w:shd w:val="clear" w:color="000000" w:fill="FFFFFF"/>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23.969</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IV - Realizovani gubitak (220 do 222)</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219</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4.216.336</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1.565.337</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610</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Realizovani gubici na prodaji hartija od vrijednosti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220</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4.216.336</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1.565.337</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611</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2. Realizovani gubici po osnovu kursnih razlika </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221</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619</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Ostali realizovani gubici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222</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 - REALIZOVANI DOBITAK I GUBITAK</w:t>
            </w:r>
            <w:r w:rsidRPr="00036A76">
              <w:rPr>
                <w:rFonts w:ascii="Arial" w:eastAsia="Times New Roman" w:hAnsi="Arial" w:cs="Arial"/>
                <w:sz w:val="16"/>
                <w:szCs w:val="16"/>
              </w:rPr>
              <w:t xml:space="preserve">                                                                        1. Realizovani dobitak (202+207-211-219)</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223</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Realizovani gubitak (211+219-202-207)</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224</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3.342.295</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595.302</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VI - Finansijski prihodi (226+227)</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225</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730</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Prihodi od kamata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226</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731</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Ostali finansijski prihodi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227</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VII - Finansijski rashodi (231+232)</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228</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630</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Rashodi po osnovu kamata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229</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631</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Ostali finansijski rashodi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230</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657"/>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xml:space="preserve">B. REALIZOVANI DOBITAK I GUBITAK PRIJE OPOREZIVANJA                                                                      </w:t>
            </w:r>
            <w:r w:rsidRPr="00036A76">
              <w:rPr>
                <w:rFonts w:ascii="Arial" w:eastAsia="Times New Roman" w:hAnsi="Arial" w:cs="Arial"/>
                <w:sz w:val="16"/>
                <w:szCs w:val="16"/>
              </w:rPr>
              <w:t>1. Realizovani dobitak prije oporezivanja (223+225-228) ili (225-228-224)</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231</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Realizovani gubitak prije oporezivanja (224+228-225) ili (228-225-223)</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232</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3.342.295</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595.302</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 TEKUĆI I ODLOŽENI POREZ NA DOBIT</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233</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821</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Poreski rashod perioda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234</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822 dio</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Odloženi poreski rashod perioda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235</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lastRenderedPageBreak/>
              <w:t>822 dio</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Odloženi poreski prihod perioda</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236</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540"/>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xml:space="preserve">G. REALIZOVANI DOBITAK I GUBITAK POSLIJE OPOREZIVANJA                       </w:t>
            </w:r>
            <w:r w:rsidRPr="00036A76">
              <w:rPr>
                <w:rFonts w:ascii="Arial" w:eastAsia="Times New Roman" w:hAnsi="Arial" w:cs="Arial"/>
                <w:sz w:val="16"/>
                <w:szCs w:val="16"/>
              </w:rPr>
              <w:t xml:space="preserve">                                                   1. Realizovani dobitak poslije oporezivanja (231-232-234-235+236)</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237</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Realizovani gubitak poslije oporezivanja (232-231+234+235-236)</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238</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3.342.295</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595.302</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D. NEREALIZOVANI DOBICI I GUBICI                                                         I-Nerealizovani dobici (240 do 244)</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239</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2.712.123</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2.627.433</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720</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Nerealizovani dobici na hartijama od vrijednosti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240</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2.712.123</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2.627.433</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721</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Nerealizovani dobici po osnovu kursnih razlika na monetarnim sredstvima, osim na hartijama od vrijednosti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241</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722</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Nerealizovani dobici po osnovu kursnih razlika na hartijama od vrijednosti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242</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723</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4. Nerealizovani dobici na derivatima, instrumentima zaštite</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243</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729</w:t>
            </w:r>
          </w:p>
        </w:tc>
        <w:tc>
          <w:tcPr>
            <w:tcW w:w="4889"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5. Ostali nerealizovani dobici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244</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 - Nerealizovani gubici (246 do 250)</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245</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5.924.067</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3.807.605</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620</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1. Nerealizovani gubici na hartijama od vrijednosti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246</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5.924.067</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3.807.605</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621</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Nerealizovani gubici po osnovu kursnih razlika na monetarnim sredstvima, osim na hartijama od vrijednosti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247</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622</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3. Nerealizovani gubci po osnovu kursnih razlika na hartijama od vrijednosti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248</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623</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4. Nerealizovani gubici po osnovu </w:t>
            </w:r>
            <w:r w:rsidR="007E0ECA" w:rsidRPr="00036A76">
              <w:rPr>
                <w:rFonts w:ascii="Arial" w:eastAsia="Times New Roman" w:hAnsi="Arial" w:cs="Arial"/>
                <w:sz w:val="16"/>
                <w:szCs w:val="16"/>
              </w:rPr>
              <w:t>derivate</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249</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629</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5. Ostali nerealizovani gubici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250</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438"/>
        </w:trPr>
        <w:tc>
          <w:tcPr>
            <w:tcW w:w="1150" w:type="dxa"/>
            <w:tcBorders>
              <w:top w:val="nil"/>
              <w:left w:val="single" w:sz="4" w:space="0" w:color="auto"/>
              <w:bottom w:val="single" w:sz="4" w:space="0" w:color="auto"/>
              <w:right w:val="single" w:sz="4" w:space="0" w:color="auto"/>
            </w:tcBorders>
            <w:shd w:val="clear" w:color="auto" w:fill="auto"/>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Đ. UKUPNI NEREALIZOVANI DOBICI (GUBICI) FONDA</w:t>
            </w:r>
            <w:r w:rsidRPr="00036A76">
              <w:rPr>
                <w:rFonts w:ascii="Arial" w:eastAsia="Times New Roman" w:hAnsi="Arial" w:cs="Arial"/>
                <w:sz w:val="16"/>
                <w:szCs w:val="16"/>
              </w:rPr>
              <w:t xml:space="preserve">                                                                                                                 1. Ukupni nerealizovani dobitak (239-245)</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251</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Ukupni nerealizovani gubitak (245-239)</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252</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3.211.944</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1.180.172</w:t>
            </w:r>
          </w:p>
        </w:tc>
      </w:tr>
      <w:tr w:rsidR="00B3790D" w:rsidRPr="00036A76" w:rsidTr="00B3790D">
        <w:trPr>
          <w:trHeight w:val="657"/>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xml:space="preserve">E. POVEĆANJE (SMANJENJE) NETO IMOVINE OD POSLOVANJA FONDA                                                                                                                              </w:t>
            </w:r>
            <w:r w:rsidRPr="00036A76">
              <w:rPr>
                <w:rFonts w:ascii="Arial" w:eastAsia="Times New Roman" w:hAnsi="Arial" w:cs="Arial"/>
                <w:sz w:val="16"/>
                <w:szCs w:val="16"/>
              </w:rPr>
              <w:t>1. Povećanje neto imovine fonda (237-238+251-252)</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253</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2. Smanjenje neto imovine fonda (238-237+252-251)</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254</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6.554.239</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right"/>
              <w:rPr>
                <w:rFonts w:ascii="Arial" w:eastAsia="Times New Roman" w:hAnsi="Arial" w:cs="Arial"/>
                <w:sz w:val="16"/>
                <w:szCs w:val="16"/>
              </w:rPr>
            </w:pPr>
            <w:r w:rsidRPr="00036A76">
              <w:rPr>
                <w:rFonts w:ascii="Arial" w:eastAsia="Times New Roman" w:hAnsi="Arial" w:cs="Arial"/>
                <w:sz w:val="16"/>
                <w:szCs w:val="16"/>
              </w:rPr>
              <w:t>1.775.474</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Obična zarada po akciji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255</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B3790D" w:rsidRPr="00036A76" w:rsidTr="00B3790D">
        <w:trPr>
          <w:trHeight w:val="248"/>
        </w:trPr>
        <w:tc>
          <w:tcPr>
            <w:tcW w:w="1150" w:type="dxa"/>
            <w:tcBorders>
              <w:top w:val="nil"/>
              <w:left w:val="single" w:sz="4" w:space="0" w:color="auto"/>
              <w:bottom w:val="single" w:sz="4" w:space="0" w:color="auto"/>
              <w:right w:val="single" w:sz="4" w:space="0" w:color="auto"/>
            </w:tcBorders>
            <w:shd w:val="clear" w:color="auto" w:fill="auto"/>
            <w:vAlign w:val="bottom"/>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c>
          <w:tcPr>
            <w:tcW w:w="4889" w:type="dxa"/>
            <w:tcBorders>
              <w:top w:val="nil"/>
              <w:left w:val="nil"/>
              <w:bottom w:val="single" w:sz="4" w:space="0" w:color="auto"/>
              <w:right w:val="single" w:sz="4" w:space="0" w:color="auto"/>
            </w:tcBorders>
            <w:shd w:val="clear" w:color="auto" w:fill="auto"/>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Razrijeđena zarada po akciji</w:t>
            </w:r>
          </w:p>
        </w:tc>
        <w:tc>
          <w:tcPr>
            <w:tcW w:w="902" w:type="dxa"/>
            <w:tcBorders>
              <w:top w:val="nil"/>
              <w:left w:val="nil"/>
              <w:bottom w:val="single" w:sz="4" w:space="0" w:color="auto"/>
              <w:right w:val="single" w:sz="4" w:space="0" w:color="auto"/>
            </w:tcBorders>
            <w:shd w:val="clear" w:color="auto" w:fill="auto"/>
            <w:noWrap/>
            <w:vAlign w:val="center"/>
            <w:hideMark/>
          </w:tcPr>
          <w:p w:rsidR="00B3790D" w:rsidRPr="00036A76" w:rsidRDefault="00B3790D" w:rsidP="00B3790D">
            <w:pPr>
              <w:ind w:left="0" w:firstLine="0"/>
              <w:jc w:val="center"/>
              <w:rPr>
                <w:rFonts w:ascii="Arial" w:eastAsia="Times New Roman" w:hAnsi="Arial" w:cs="Arial"/>
                <w:sz w:val="16"/>
                <w:szCs w:val="16"/>
              </w:rPr>
            </w:pPr>
            <w:r w:rsidRPr="00036A76">
              <w:rPr>
                <w:rFonts w:ascii="Arial" w:eastAsia="Times New Roman" w:hAnsi="Arial" w:cs="Arial"/>
                <w:sz w:val="16"/>
                <w:szCs w:val="16"/>
              </w:rPr>
              <w:t>256</w:t>
            </w:r>
          </w:p>
        </w:tc>
        <w:tc>
          <w:tcPr>
            <w:tcW w:w="1203"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B3790D" w:rsidRPr="00036A76" w:rsidRDefault="00B3790D" w:rsidP="00B3790D">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bl>
    <w:p w:rsidR="00B3790D" w:rsidRPr="00036A76" w:rsidRDefault="00B3790D" w:rsidP="003C4ADB">
      <w:pPr>
        <w:ind w:left="0"/>
        <w:contextualSpacing/>
        <w:jc w:val="left"/>
      </w:pPr>
    </w:p>
    <w:p w:rsidR="00E62AAB" w:rsidRPr="00036A76" w:rsidRDefault="00E62AAB" w:rsidP="003C4ADB">
      <w:pPr>
        <w:ind w:left="0"/>
        <w:contextualSpacing/>
        <w:jc w:val="left"/>
        <w:rPr>
          <w:color w:val="FF0000"/>
          <w:sz w:val="18"/>
          <w:szCs w:val="18"/>
        </w:rPr>
      </w:pPr>
    </w:p>
    <w:p w:rsidR="00D05C12" w:rsidRPr="00036A76" w:rsidRDefault="00D05C12" w:rsidP="003C4ADB">
      <w:pPr>
        <w:ind w:left="0"/>
        <w:contextualSpacing/>
        <w:jc w:val="left"/>
      </w:pPr>
      <w:r w:rsidRPr="00036A76">
        <w:t>Bilans tokova gotovine</w:t>
      </w:r>
      <w:r w:rsidR="00E62AAB" w:rsidRPr="00036A76">
        <w:t xml:space="preserve"> – izvještaj o tokovima gotovine</w:t>
      </w:r>
    </w:p>
    <w:p w:rsidR="00E62AAB" w:rsidRPr="00036A76" w:rsidRDefault="00AA76F6" w:rsidP="003C4ADB">
      <w:pPr>
        <w:ind w:left="0"/>
        <w:contextualSpacing/>
        <w:jc w:val="left"/>
      </w:pPr>
      <w:r w:rsidRPr="00036A76">
        <w:t>za period od 01.01.2016. godine do 31.12.2016</w:t>
      </w:r>
      <w:r w:rsidR="00E62AAB" w:rsidRPr="00036A76">
        <w:t>. godine</w:t>
      </w:r>
    </w:p>
    <w:tbl>
      <w:tblPr>
        <w:tblW w:w="7220" w:type="dxa"/>
        <w:tblInd w:w="93" w:type="dxa"/>
        <w:tblLook w:val="04A0"/>
      </w:tblPr>
      <w:tblGrid>
        <w:gridCol w:w="4600"/>
        <w:gridCol w:w="760"/>
        <w:gridCol w:w="940"/>
        <w:gridCol w:w="1008"/>
      </w:tblGrid>
      <w:tr w:rsidR="00AA76F6" w:rsidRPr="00036A76" w:rsidTr="00AA76F6">
        <w:trPr>
          <w:trHeight w:val="255"/>
        </w:trPr>
        <w:tc>
          <w:tcPr>
            <w:tcW w:w="46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Opis</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AOP</w:t>
            </w:r>
          </w:p>
        </w:tc>
        <w:tc>
          <w:tcPr>
            <w:tcW w:w="1860" w:type="dxa"/>
            <w:gridSpan w:val="2"/>
            <w:tcBorders>
              <w:top w:val="single" w:sz="4" w:space="0" w:color="auto"/>
              <w:left w:val="nil"/>
              <w:bottom w:val="single" w:sz="4" w:space="0" w:color="auto"/>
              <w:right w:val="single" w:sz="4" w:space="0" w:color="000000"/>
            </w:tcBorders>
            <w:shd w:val="clear" w:color="000000" w:fill="C0C0C0"/>
            <w:noWrap/>
            <w:vAlign w:val="bottom"/>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Iznos</w:t>
            </w:r>
          </w:p>
        </w:tc>
      </w:tr>
      <w:tr w:rsidR="00AA76F6" w:rsidRPr="00036A76" w:rsidTr="00AA76F6">
        <w:trPr>
          <w:trHeight w:val="45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AA76F6" w:rsidRPr="00036A76" w:rsidRDefault="00AA76F6" w:rsidP="00AA76F6">
            <w:pPr>
              <w:ind w:left="0" w:firstLine="0"/>
              <w:jc w:val="left"/>
              <w:rPr>
                <w:rFonts w:ascii="Arial" w:eastAsia="Times New Roman" w:hAnsi="Arial" w:cs="Arial"/>
                <w:b/>
                <w:bCs/>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A76F6" w:rsidRPr="00036A76" w:rsidRDefault="00AA76F6" w:rsidP="00AA76F6">
            <w:pPr>
              <w:ind w:left="0" w:firstLine="0"/>
              <w:jc w:val="left"/>
              <w:rPr>
                <w:rFonts w:ascii="Arial" w:eastAsia="Times New Roman" w:hAnsi="Arial" w:cs="Arial"/>
                <w:b/>
                <w:bCs/>
                <w:sz w:val="16"/>
                <w:szCs w:val="16"/>
              </w:rPr>
            </w:pPr>
          </w:p>
        </w:tc>
        <w:tc>
          <w:tcPr>
            <w:tcW w:w="940" w:type="dxa"/>
            <w:tcBorders>
              <w:top w:val="nil"/>
              <w:left w:val="nil"/>
              <w:bottom w:val="single" w:sz="4" w:space="0" w:color="auto"/>
              <w:right w:val="single" w:sz="4" w:space="0" w:color="auto"/>
            </w:tcBorders>
            <w:shd w:val="clear" w:color="000000" w:fill="C0C0C0"/>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Tekuća godina</w:t>
            </w:r>
          </w:p>
        </w:tc>
        <w:tc>
          <w:tcPr>
            <w:tcW w:w="920" w:type="dxa"/>
            <w:tcBorders>
              <w:top w:val="nil"/>
              <w:left w:val="nil"/>
              <w:bottom w:val="single" w:sz="4" w:space="0" w:color="auto"/>
              <w:right w:val="single" w:sz="4" w:space="0" w:color="auto"/>
            </w:tcBorders>
            <w:shd w:val="clear" w:color="000000" w:fill="C0C0C0"/>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Prethodna godina</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92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w:t>
            </w:r>
          </w:p>
        </w:tc>
      </w:tr>
      <w:tr w:rsidR="00AA76F6" w:rsidRPr="00036A76" w:rsidTr="00AA76F6">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A. Novčani tokovi iz poslovnih aktivnosti</w:t>
            </w:r>
            <w:r w:rsidRPr="00036A76">
              <w:rPr>
                <w:rFonts w:ascii="Arial" w:eastAsia="Times New Roman" w:hAnsi="Arial" w:cs="Arial"/>
                <w:sz w:val="16"/>
                <w:szCs w:val="16"/>
              </w:rPr>
              <w:t xml:space="preserve">                                      I - Prilivi gotovine iz poslovnih aktivnosti (402 do 406)</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401</w:t>
            </w:r>
          </w:p>
        </w:tc>
        <w:tc>
          <w:tcPr>
            <w:tcW w:w="9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1.400.050</w:t>
            </w:r>
          </w:p>
        </w:tc>
        <w:tc>
          <w:tcPr>
            <w:tcW w:w="92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1.906.914</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1. Prilivi po osnovu prodaje ulaganja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402</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35.091</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189.651</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2. Prilivi po osnovu dividendi </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403</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728.105</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1.170.213</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3. Prilivi po osnovu kamata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404</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322.240</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281.202</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4. Prilivi po osnovu refundiranja rashoda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405</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5. Ostali prilivi od operativnih aktivnosti</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406</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314.614</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265.848</w:t>
            </w:r>
          </w:p>
        </w:tc>
      </w:tr>
      <w:tr w:rsidR="00AA76F6" w:rsidRPr="00036A76" w:rsidTr="00AA76F6">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 - Odlivi gotovine iz operativnih aktivnosti (408 do 418)</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407</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1.307.713</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1.726.536</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1. Odlivi po osnovu kupovine ulaganja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408</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487.888</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1.119.545</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2. Odlivi po osnovu ulaganja u HOV</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409</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3. Odlivi po osnovu ostalih ulaganja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410</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4. Odlivi po osnovu naknada društvu za upravljanje</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411</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742.498</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520.238</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lastRenderedPageBreak/>
              <w:t>5. Odlivi po osnovu rashoda za kamate</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412</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6. Odlivi po osnovu troškova kupovine i prodaje HOV</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413</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1.137</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2.834</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7. Odlivi po osnovu naknade eksternom revizoru</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414</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2.808</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1.755</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8. Odlivi po osnovu troškova banke depozitara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415</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12.607</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27.842</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9. Odlivi po osnovu ostalih rashoda iz operativne aktivnosti</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416</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60.775</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54.322</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10. Odlivi po osnovu poreza na dobit</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417</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11. Odlivi po osnovu ostalih rashoda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418</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III - Neto priliv gotovine iz poslovnih aktivnosti (401-407)</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419</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92.337</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180.378</w:t>
            </w:r>
          </w:p>
        </w:tc>
      </w:tr>
      <w:tr w:rsidR="00AA76F6" w:rsidRPr="00036A76" w:rsidTr="00AA76F6">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IV - Neto odliv gotovine iz poslovnih aktivnosti (407-401)</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420</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0</w:t>
            </w:r>
          </w:p>
        </w:tc>
      </w:tr>
      <w:tr w:rsidR="00AA76F6" w:rsidRPr="00036A76" w:rsidTr="00AA76F6">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B. Tokovi gotovine iz aktivnosti finansiranja                       I - Prilivi gotovine iz aktivnosti finansiranja (422+423)</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421</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1. Priliv po osnovu izdavanja udjela/emisije akcija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422</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2. Prilivi po osnovu zaduživanja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423</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II - Odlivi gotovine iz aktivnosti finansiranja (425 do 428)</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424</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1. Odlivi po osnovu otplate dugova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425</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2. Odlivi po osnovu otkupa sopstvenih akcija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426</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3. Odlivi po osnovu dividendi</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427</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4. Odlivi po osnovu učešća u dobitku</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428</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III - Neto priliv gotovine iz aktivnosti finansiranja (421-424)</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429</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IV - Neto odliv gotovine iz aktivnosti finansiranja (424-421)</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430</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 Ukupni prilivi gotovine (401+421)</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431</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1.400.050</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1.906.914</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G. Ukupni odlivi gotovine (407+424)</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432</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1.307.713</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1.726.536</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D. Neto  priliv gotovine (431-432)</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433</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92.337</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180.378</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Đ. Neto odliv gotovine (432-431)</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434</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0</w:t>
            </w:r>
          </w:p>
        </w:tc>
      </w:tr>
      <w:tr w:rsidR="00AA76F6" w:rsidRPr="00036A76" w:rsidTr="00AA76F6">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E. Gotovina na početku perioda</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435</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510.154</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b/>
                <w:bCs/>
                <w:sz w:val="16"/>
                <w:szCs w:val="16"/>
              </w:rPr>
            </w:pPr>
            <w:r w:rsidRPr="00036A76">
              <w:rPr>
                <w:rFonts w:ascii="Arial" w:eastAsia="Times New Roman" w:hAnsi="Arial" w:cs="Arial"/>
                <w:b/>
                <w:bCs/>
                <w:sz w:val="16"/>
                <w:szCs w:val="16"/>
              </w:rPr>
              <w:t>329.776</w:t>
            </w:r>
          </w:p>
        </w:tc>
      </w:tr>
      <w:tr w:rsidR="00AA76F6" w:rsidRPr="00036A76" w:rsidTr="00AA76F6">
        <w:trPr>
          <w:trHeight w:val="450"/>
        </w:trPr>
        <w:tc>
          <w:tcPr>
            <w:tcW w:w="4600" w:type="dxa"/>
            <w:tcBorders>
              <w:top w:val="nil"/>
              <w:left w:val="single" w:sz="4" w:space="0" w:color="auto"/>
              <w:bottom w:val="nil"/>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Ž. Pozitivne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436</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w:t>
            </w:r>
          </w:p>
        </w:tc>
      </w:tr>
      <w:tr w:rsidR="00AA76F6" w:rsidRPr="00036A76" w:rsidTr="00AA76F6">
        <w:trPr>
          <w:trHeight w:val="450"/>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Z. Negativne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437</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20"/>
                <w:szCs w:val="20"/>
              </w:rPr>
            </w:pPr>
            <w:r w:rsidRPr="00036A76">
              <w:rPr>
                <w:rFonts w:ascii="Arial" w:eastAsia="Times New Roman" w:hAnsi="Arial" w:cs="Arial"/>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20"/>
                <w:szCs w:val="20"/>
              </w:rPr>
            </w:pPr>
            <w:r w:rsidRPr="00036A76">
              <w:rPr>
                <w:rFonts w:ascii="Arial" w:eastAsia="Times New Roman" w:hAnsi="Arial" w:cs="Arial"/>
                <w:sz w:val="20"/>
                <w:szCs w:val="20"/>
              </w:rPr>
              <w:t> </w:t>
            </w:r>
          </w:p>
        </w:tc>
      </w:tr>
      <w:tr w:rsidR="00AA76F6" w:rsidRPr="00036A76" w:rsidTr="00AA76F6">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I. GOTOVINA NA KRAJU OBRAČUNSKOG PERIODA (435+433-434+436-437)</w:t>
            </w:r>
          </w:p>
        </w:tc>
        <w:tc>
          <w:tcPr>
            <w:tcW w:w="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438</w:t>
            </w:r>
          </w:p>
        </w:tc>
        <w:tc>
          <w:tcPr>
            <w:tcW w:w="9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602.491</w:t>
            </w:r>
          </w:p>
        </w:tc>
        <w:tc>
          <w:tcPr>
            <w:tcW w:w="9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510.154</w:t>
            </w:r>
          </w:p>
        </w:tc>
      </w:tr>
    </w:tbl>
    <w:p w:rsidR="00E62AAB" w:rsidRPr="00036A76" w:rsidRDefault="00E62AAB" w:rsidP="003C4ADB">
      <w:pPr>
        <w:ind w:left="0"/>
        <w:contextualSpacing/>
        <w:jc w:val="left"/>
        <w:rPr>
          <w:color w:val="FF0000"/>
          <w:sz w:val="18"/>
          <w:szCs w:val="18"/>
        </w:rPr>
      </w:pPr>
    </w:p>
    <w:p w:rsidR="00D05C12" w:rsidRPr="00036A76" w:rsidRDefault="00D05C12" w:rsidP="003C4ADB">
      <w:pPr>
        <w:ind w:left="0"/>
        <w:contextualSpacing/>
        <w:jc w:val="left"/>
      </w:pPr>
      <w:r w:rsidRPr="00036A76">
        <w:t>Izvještaj o promjenama neto imovine investiciono</w:t>
      </w:r>
      <w:r w:rsidR="00AA76F6" w:rsidRPr="00036A76">
        <w:t>g F</w:t>
      </w:r>
      <w:r w:rsidRPr="00036A76">
        <w:t>onda</w:t>
      </w:r>
    </w:p>
    <w:p w:rsidR="00AA76F6" w:rsidRPr="00036A76" w:rsidRDefault="00AA76F6" w:rsidP="00AA76F6">
      <w:pPr>
        <w:ind w:left="0"/>
        <w:contextualSpacing/>
        <w:jc w:val="left"/>
      </w:pPr>
      <w:r w:rsidRPr="00036A76">
        <w:t>za period od 01.01.2016. godine do 31.12.2016</w:t>
      </w:r>
      <w:r w:rsidR="00E62AAB" w:rsidRPr="00036A76">
        <w:t>. godine</w:t>
      </w:r>
    </w:p>
    <w:tbl>
      <w:tblPr>
        <w:tblW w:w="9100" w:type="dxa"/>
        <w:tblInd w:w="93" w:type="dxa"/>
        <w:tblLook w:val="04A0"/>
      </w:tblPr>
      <w:tblGrid>
        <w:gridCol w:w="635"/>
        <w:gridCol w:w="5740"/>
        <w:gridCol w:w="554"/>
        <w:gridCol w:w="1140"/>
        <w:gridCol w:w="1140"/>
      </w:tblGrid>
      <w:tr w:rsidR="00AA76F6" w:rsidRPr="00036A76" w:rsidTr="00AA76F6">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Redni broj</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Pozicija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AOP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Prethodna godina</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57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11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w:t>
            </w:r>
          </w:p>
        </w:tc>
        <w:tc>
          <w:tcPr>
            <w:tcW w:w="11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Povećanje (smanjenje) neto imovine od poslovanja fonda (302 do 306)</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301</w:t>
            </w:r>
          </w:p>
        </w:tc>
        <w:tc>
          <w:tcPr>
            <w:tcW w:w="11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-2.518.585</w:t>
            </w:r>
          </w:p>
        </w:tc>
        <w:tc>
          <w:tcPr>
            <w:tcW w:w="11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-5.038.506</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Realizovani dobitak (gubitak) od ulaganja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302</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-3.342.295</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-595.302</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Ukupni narealizovani dobici (gubici) od ulaganja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303</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-3.009.419</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-1.180.172</w:t>
            </w:r>
          </w:p>
        </w:tc>
      </w:tr>
      <w:tr w:rsidR="00AA76F6" w:rsidRPr="00036A76" w:rsidTr="00AA76F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w:t>
            </w:r>
          </w:p>
        </w:tc>
        <w:tc>
          <w:tcPr>
            <w:tcW w:w="5740" w:type="dxa"/>
            <w:tcBorders>
              <w:top w:val="nil"/>
              <w:left w:val="nil"/>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Revalorizacione rezerve po osnovu finansijskih ulaganja raspoloživih za prodaju</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304</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3.833.129</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-3.263.032</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w:t>
            </w:r>
          </w:p>
        </w:tc>
        <w:tc>
          <w:tcPr>
            <w:tcW w:w="5740" w:type="dxa"/>
            <w:tcBorders>
              <w:top w:val="nil"/>
              <w:left w:val="nil"/>
              <w:bottom w:val="nil"/>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xml:space="preserve">Revalorizacione rezerve po osnovu </w:t>
            </w:r>
            <w:r w:rsidR="007E0ECA" w:rsidRPr="00036A76">
              <w:rPr>
                <w:rFonts w:ascii="Arial" w:eastAsia="Times New Roman" w:hAnsi="Arial" w:cs="Arial"/>
                <w:sz w:val="16"/>
                <w:szCs w:val="16"/>
              </w:rPr>
              <w:t>derivate</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305</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AA76F6" w:rsidRPr="00036A76" w:rsidTr="00AA76F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6</w:t>
            </w:r>
          </w:p>
        </w:tc>
        <w:tc>
          <w:tcPr>
            <w:tcW w:w="5740" w:type="dxa"/>
            <w:tcBorders>
              <w:top w:val="single" w:sz="4" w:space="0" w:color="auto"/>
              <w:left w:val="nil"/>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Nerealizovani gubici i dobici po osnovu finansijskih sredstava po fer-vrijednosti kroz bilans uspjeha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306</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7</w:t>
            </w:r>
          </w:p>
        </w:tc>
        <w:tc>
          <w:tcPr>
            <w:tcW w:w="5740" w:type="dxa"/>
            <w:tcBorders>
              <w:top w:val="nil"/>
              <w:left w:val="nil"/>
              <w:bottom w:val="nil"/>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Povećenje (smanjenje) neto imovine po osnovu transakcija sa udjelima/akcijama fonda (308-309)</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307</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Povećanje po osnovu izdatih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308</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9</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Smanjenje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309</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10</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Objavljene dividende i drugi vidovi raspodjele dobitka i pokriće gubitka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lastRenderedPageBreak/>
              <w:t>11</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Ukupno povećanje (smanjenje) neto imovine fonda (301+-307-310)</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311</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-2.518.585</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-5.038.506</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12</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Neto imovina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312</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13</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313</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25.011.476</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30.049.982</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14</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314</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22.492.891</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25.011.476</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15</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 xml:space="preserve">Broj udjela/akcija fonda u </w:t>
            </w:r>
            <w:r w:rsidR="007E0ECA" w:rsidRPr="00036A76">
              <w:rPr>
                <w:rFonts w:ascii="Arial" w:eastAsia="Times New Roman" w:hAnsi="Arial" w:cs="Arial"/>
                <w:b/>
                <w:bCs/>
                <w:sz w:val="16"/>
                <w:szCs w:val="16"/>
              </w:rPr>
              <w:t>period</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315</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16</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Broj udjela/akcija 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316</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17</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Izdati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317</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18</w:t>
            </w:r>
          </w:p>
        </w:tc>
        <w:tc>
          <w:tcPr>
            <w:tcW w:w="57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Povučeni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318</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19</w:t>
            </w:r>
          </w:p>
        </w:tc>
        <w:tc>
          <w:tcPr>
            <w:tcW w:w="5740" w:type="dxa"/>
            <w:tcBorders>
              <w:top w:val="nil"/>
              <w:left w:val="nil"/>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Broj udjela/akcija 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319</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r>
    </w:tbl>
    <w:p w:rsidR="00AA76F6" w:rsidRPr="00036A76" w:rsidRDefault="00AA76F6" w:rsidP="003C4ADB">
      <w:pPr>
        <w:ind w:left="0"/>
        <w:contextualSpacing/>
        <w:jc w:val="left"/>
      </w:pPr>
    </w:p>
    <w:p w:rsidR="00D05C12" w:rsidRPr="00036A76" w:rsidRDefault="00AA76F6" w:rsidP="003C4ADB">
      <w:pPr>
        <w:ind w:left="0"/>
        <w:contextualSpacing/>
        <w:jc w:val="left"/>
      </w:pPr>
      <w:r w:rsidRPr="00036A76">
        <w:t>Izv</w:t>
      </w:r>
      <w:r w:rsidR="00D05C12" w:rsidRPr="00036A76">
        <w:t>ješta</w:t>
      </w:r>
      <w:r w:rsidRPr="00036A76">
        <w:t>j o finansijskim pokazateljima F</w:t>
      </w:r>
      <w:r w:rsidR="00D05C12" w:rsidRPr="00036A76">
        <w:t>onda</w:t>
      </w:r>
    </w:p>
    <w:p w:rsidR="00E62AAB" w:rsidRPr="00036A76" w:rsidRDefault="00AA76F6" w:rsidP="003C4ADB">
      <w:pPr>
        <w:ind w:left="0"/>
        <w:contextualSpacing/>
        <w:jc w:val="left"/>
      </w:pPr>
      <w:r w:rsidRPr="00036A76">
        <w:t>za period od 01.01.2016. godine do 31.12.2016</w:t>
      </w:r>
      <w:r w:rsidR="00E62AAB" w:rsidRPr="00036A76">
        <w:t>. godine</w:t>
      </w:r>
    </w:p>
    <w:tbl>
      <w:tblPr>
        <w:tblW w:w="9080" w:type="dxa"/>
        <w:tblInd w:w="93" w:type="dxa"/>
        <w:tblLook w:val="04A0"/>
      </w:tblPr>
      <w:tblGrid>
        <w:gridCol w:w="700"/>
        <w:gridCol w:w="5580"/>
        <w:gridCol w:w="640"/>
        <w:gridCol w:w="1106"/>
        <w:gridCol w:w="1140"/>
      </w:tblGrid>
      <w:tr w:rsidR="00AA76F6" w:rsidRPr="00036A76" w:rsidTr="00AA76F6">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Redni broj</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Pozicija imovine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AOP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Prethodna godina</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558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w:t>
            </w:r>
          </w:p>
        </w:tc>
        <w:tc>
          <w:tcPr>
            <w:tcW w:w="11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6</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I</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Vrijednost neto imovine po udjelu/akciji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501</w:t>
            </w:r>
          </w:p>
        </w:tc>
        <w:tc>
          <w:tcPr>
            <w:tcW w:w="102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Neto imovina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502</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25.011.476</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30.049.982</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Broj udjela/akcija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503</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r>
      <w:tr w:rsidR="00AA76F6" w:rsidRPr="00036A76" w:rsidTr="00AA76F6">
        <w:trPr>
          <w:trHeight w:val="3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5580" w:type="dxa"/>
            <w:tcBorders>
              <w:top w:val="nil"/>
              <w:left w:val="nil"/>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Vrijednost udjela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504</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0,13</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0,16</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II</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Vrijednost neto imovine fonda po udjelu/akciji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505</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5580" w:type="dxa"/>
            <w:tcBorders>
              <w:top w:val="nil"/>
              <w:left w:val="nil"/>
              <w:bottom w:val="single" w:sz="4" w:space="0" w:color="auto"/>
              <w:right w:val="single" w:sz="4" w:space="0" w:color="auto"/>
            </w:tcBorders>
            <w:shd w:val="clear" w:color="auto" w:fill="auto"/>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Neto imovina fonda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506</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22.492.891</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25.011.476</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Broj udjela/akcija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507</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187.191.287</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Vrijednost udjela/akcije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508</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0,12</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0,13</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b/>
                <w:bCs/>
                <w:sz w:val="16"/>
                <w:szCs w:val="16"/>
              </w:rPr>
            </w:pPr>
            <w:r w:rsidRPr="00036A76">
              <w:rPr>
                <w:rFonts w:ascii="Arial" w:eastAsia="Times New Roman" w:hAnsi="Arial" w:cs="Arial"/>
                <w:b/>
                <w:bCs/>
                <w:sz w:val="16"/>
                <w:szCs w:val="16"/>
              </w:rPr>
              <w:t>III</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b/>
                <w:bCs/>
                <w:sz w:val="16"/>
                <w:szCs w:val="16"/>
              </w:rPr>
            </w:pPr>
            <w:r w:rsidRPr="00036A76">
              <w:rPr>
                <w:rFonts w:ascii="Arial" w:eastAsia="Times New Roman" w:hAnsi="Arial" w:cs="Arial"/>
                <w:b/>
                <w:bCs/>
                <w:sz w:val="16"/>
                <w:szCs w:val="16"/>
              </w:rPr>
              <w:t>Finansijski pokazatelji</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509</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 </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Odnos rashoda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510</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0,01</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0,02</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Odnos realizovane dobiti od ulaganja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511</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0,00</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Isplaćeni iznos investitorima u toku godine</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512</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0,00</w:t>
            </w:r>
          </w:p>
        </w:tc>
      </w:tr>
      <w:tr w:rsidR="00AA76F6" w:rsidRPr="00036A76" w:rsidTr="00AA76F6">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w:t>
            </w:r>
          </w:p>
        </w:tc>
        <w:tc>
          <w:tcPr>
            <w:tcW w:w="55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Stopa prinosa na neto imovinu fonda</w:t>
            </w:r>
          </w:p>
        </w:tc>
        <w:tc>
          <w:tcPr>
            <w:tcW w:w="6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513</w:t>
            </w:r>
          </w:p>
        </w:tc>
        <w:tc>
          <w:tcPr>
            <w:tcW w:w="102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0,00</w:t>
            </w:r>
          </w:p>
        </w:tc>
      </w:tr>
    </w:tbl>
    <w:p w:rsidR="00E62AAB" w:rsidRPr="00036A76" w:rsidRDefault="00E62AAB" w:rsidP="003C4ADB">
      <w:pPr>
        <w:ind w:left="0"/>
        <w:contextualSpacing/>
        <w:jc w:val="left"/>
        <w:rPr>
          <w:color w:val="FF0000"/>
        </w:rPr>
      </w:pPr>
    </w:p>
    <w:p w:rsidR="00D05C12" w:rsidRPr="00036A76" w:rsidRDefault="00D05C12" w:rsidP="00D05C12">
      <w:pPr>
        <w:ind w:left="0"/>
        <w:contextualSpacing/>
        <w:jc w:val="left"/>
      </w:pPr>
      <w:r w:rsidRPr="00036A76">
        <w:t>Izvještaj o st</w:t>
      </w:r>
      <w:r w:rsidR="00044856" w:rsidRPr="00036A76">
        <w:t>rukturi ulaganja investicionog F</w:t>
      </w:r>
      <w:r w:rsidRPr="00036A76">
        <w:t>onda po vrstama imovine</w:t>
      </w:r>
    </w:p>
    <w:p w:rsidR="008B2274" w:rsidRPr="00036A76" w:rsidRDefault="00AA76F6" w:rsidP="00D05C12">
      <w:pPr>
        <w:ind w:left="0"/>
        <w:contextualSpacing/>
        <w:jc w:val="left"/>
      </w:pPr>
      <w:r w:rsidRPr="00036A76">
        <w:t>sa stanjem na dan 31.12.2016</w:t>
      </w:r>
      <w:r w:rsidR="008B2274" w:rsidRPr="00036A76">
        <w:t>. godine</w:t>
      </w:r>
    </w:p>
    <w:tbl>
      <w:tblPr>
        <w:tblW w:w="6940" w:type="dxa"/>
        <w:tblInd w:w="93" w:type="dxa"/>
        <w:tblLook w:val="04A0"/>
      </w:tblPr>
      <w:tblGrid>
        <w:gridCol w:w="660"/>
        <w:gridCol w:w="2840"/>
        <w:gridCol w:w="1760"/>
        <w:gridCol w:w="1680"/>
      </w:tblGrid>
      <w:tr w:rsidR="00AA76F6" w:rsidRPr="00036A76" w:rsidTr="00AA76F6">
        <w:trPr>
          <w:trHeight w:val="73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Redni broj</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Opis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Ukupna vrijednost na dan izvještavanja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Učešće u vrijednosti imovine fonda (%)</w:t>
            </w:r>
          </w:p>
        </w:tc>
      </w:tr>
      <w:tr w:rsidR="00AA76F6" w:rsidRPr="00036A76" w:rsidTr="00AA76F6">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284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176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1680" w:type="dxa"/>
            <w:tcBorders>
              <w:top w:val="nil"/>
              <w:left w:val="nil"/>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w:t>
            </w:r>
          </w:p>
        </w:tc>
      </w:tr>
      <w:tr w:rsidR="00AA76F6" w:rsidRPr="00036A76" w:rsidTr="00AA76F6">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1</w:t>
            </w:r>
          </w:p>
        </w:tc>
        <w:tc>
          <w:tcPr>
            <w:tcW w:w="28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Akcije</w:t>
            </w:r>
          </w:p>
        </w:tc>
        <w:tc>
          <w:tcPr>
            <w:tcW w:w="176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16.609.141</w:t>
            </w:r>
          </w:p>
        </w:tc>
        <w:tc>
          <w:tcPr>
            <w:tcW w:w="16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69,6353</w:t>
            </w:r>
          </w:p>
        </w:tc>
      </w:tr>
      <w:tr w:rsidR="00AA76F6" w:rsidRPr="00036A76" w:rsidTr="00AA76F6">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2</w:t>
            </w:r>
          </w:p>
        </w:tc>
        <w:tc>
          <w:tcPr>
            <w:tcW w:w="28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Obveznice</w:t>
            </w:r>
          </w:p>
        </w:tc>
        <w:tc>
          <w:tcPr>
            <w:tcW w:w="176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3.848.908</w:t>
            </w:r>
          </w:p>
        </w:tc>
        <w:tc>
          <w:tcPr>
            <w:tcW w:w="16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16,1335</w:t>
            </w:r>
          </w:p>
        </w:tc>
      </w:tr>
      <w:tr w:rsidR="00AA76F6" w:rsidRPr="00036A76" w:rsidTr="00AA76F6">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3</w:t>
            </w:r>
          </w:p>
        </w:tc>
        <w:tc>
          <w:tcPr>
            <w:tcW w:w="28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Ostale hartije od vrijednosti</w:t>
            </w:r>
          </w:p>
        </w:tc>
        <w:tc>
          <w:tcPr>
            <w:tcW w:w="176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2.729.702</w:t>
            </w:r>
          </w:p>
        </w:tc>
        <w:tc>
          <w:tcPr>
            <w:tcW w:w="16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11,2708</w:t>
            </w:r>
          </w:p>
        </w:tc>
      </w:tr>
      <w:tr w:rsidR="00AA76F6" w:rsidRPr="00036A76" w:rsidTr="00AA76F6">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4</w:t>
            </w:r>
          </w:p>
        </w:tc>
        <w:tc>
          <w:tcPr>
            <w:tcW w:w="28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Depoziti i plasmani</w:t>
            </w:r>
          </w:p>
        </w:tc>
        <w:tc>
          <w:tcPr>
            <w:tcW w:w="176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w:t>
            </w:r>
          </w:p>
        </w:tc>
        <w:tc>
          <w:tcPr>
            <w:tcW w:w="16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0,0000</w:t>
            </w:r>
          </w:p>
        </w:tc>
      </w:tr>
      <w:tr w:rsidR="00AA76F6" w:rsidRPr="00036A76" w:rsidTr="00AA76F6">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5</w:t>
            </w:r>
          </w:p>
        </w:tc>
        <w:tc>
          <w:tcPr>
            <w:tcW w:w="28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Gotovina i gotovinski ekvivalenti</w:t>
            </w:r>
          </w:p>
        </w:tc>
        <w:tc>
          <w:tcPr>
            <w:tcW w:w="176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602.491</w:t>
            </w:r>
          </w:p>
        </w:tc>
        <w:tc>
          <w:tcPr>
            <w:tcW w:w="16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2,9087</w:t>
            </w:r>
          </w:p>
        </w:tc>
      </w:tr>
      <w:tr w:rsidR="00AA76F6" w:rsidRPr="00036A76" w:rsidTr="00AA76F6">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A76F6" w:rsidRPr="00036A76" w:rsidRDefault="00AA76F6" w:rsidP="00AA76F6">
            <w:pPr>
              <w:ind w:left="0" w:firstLine="0"/>
              <w:jc w:val="center"/>
              <w:rPr>
                <w:rFonts w:ascii="Arial" w:eastAsia="Times New Roman" w:hAnsi="Arial" w:cs="Arial"/>
                <w:sz w:val="16"/>
                <w:szCs w:val="16"/>
              </w:rPr>
            </w:pPr>
            <w:r w:rsidRPr="00036A76">
              <w:rPr>
                <w:rFonts w:ascii="Arial" w:eastAsia="Times New Roman" w:hAnsi="Arial" w:cs="Arial"/>
                <w:sz w:val="16"/>
                <w:szCs w:val="16"/>
              </w:rPr>
              <w:t>6</w:t>
            </w:r>
          </w:p>
        </w:tc>
        <w:tc>
          <w:tcPr>
            <w:tcW w:w="28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Ostala imovina</w:t>
            </w:r>
          </w:p>
        </w:tc>
        <w:tc>
          <w:tcPr>
            <w:tcW w:w="176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34.866</w:t>
            </w:r>
          </w:p>
        </w:tc>
        <w:tc>
          <w:tcPr>
            <w:tcW w:w="16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0,0517</w:t>
            </w:r>
          </w:p>
        </w:tc>
      </w:tr>
      <w:tr w:rsidR="00AA76F6" w:rsidRPr="00036A76" w:rsidTr="00AA76F6">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20"/>
                <w:szCs w:val="20"/>
              </w:rPr>
            </w:pPr>
            <w:r w:rsidRPr="00036A76">
              <w:rPr>
                <w:rFonts w:ascii="Arial" w:eastAsia="Times New Roman"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left"/>
              <w:rPr>
                <w:rFonts w:ascii="Arial" w:eastAsia="Times New Roman" w:hAnsi="Arial" w:cs="Arial"/>
                <w:sz w:val="16"/>
                <w:szCs w:val="16"/>
              </w:rPr>
            </w:pPr>
            <w:r w:rsidRPr="00036A76">
              <w:rPr>
                <w:rFonts w:ascii="Arial" w:eastAsia="Times New Roman" w:hAnsi="Arial" w:cs="Arial"/>
                <w:sz w:val="16"/>
                <w:szCs w:val="16"/>
              </w:rPr>
              <w:t>Ukupno</w:t>
            </w:r>
          </w:p>
        </w:tc>
        <w:tc>
          <w:tcPr>
            <w:tcW w:w="176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23.825.108</w:t>
            </w:r>
          </w:p>
        </w:tc>
        <w:tc>
          <w:tcPr>
            <w:tcW w:w="1680" w:type="dxa"/>
            <w:tcBorders>
              <w:top w:val="nil"/>
              <w:left w:val="nil"/>
              <w:bottom w:val="single" w:sz="4" w:space="0" w:color="auto"/>
              <w:right w:val="single" w:sz="4" w:space="0" w:color="auto"/>
            </w:tcBorders>
            <w:shd w:val="clear" w:color="auto" w:fill="auto"/>
            <w:noWrap/>
            <w:vAlign w:val="bottom"/>
            <w:hideMark/>
          </w:tcPr>
          <w:p w:rsidR="00AA76F6" w:rsidRPr="00036A76" w:rsidRDefault="00AA76F6" w:rsidP="00AA76F6">
            <w:pPr>
              <w:ind w:left="0" w:firstLine="0"/>
              <w:jc w:val="right"/>
              <w:rPr>
                <w:rFonts w:ascii="Arial" w:eastAsia="Times New Roman" w:hAnsi="Arial" w:cs="Arial"/>
                <w:sz w:val="16"/>
                <w:szCs w:val="16"/>
              </w:rPr>
            </w:pPr>
            <w:r w:rsidRPr="00036A76">
              <w:rPr>
                <w:rFonts w:ascii="Arial" w:eastAsia="Times New Roman" w:hAnsi="Arial" w:cs="Arial"/>
                <w:sz w:val="16"/>
                <w:szCs w:val="16"/>
              </w:rPr>
              <w:t>100,0000</w:t>
            </w:r>
          </w:p>
        </w:tc>
      </w:tr>
    </w:tbl>
    <w:p w:rsidR="008B2274" w:rsidRPr="00036A76" w:rsidRDefault="008B2274" w:rsidP="00D05C12">
      <w:pPr>
        <w:ind w:left="0"/>
        <w:contextualSpacing/>
        <w:jc w:val="left"/>
        <w:rPr>
          <w:color w:val="FF0000"/>
        </w:rPr>
      </w:pPr>
    </w:p>
    <w:p w:rsidR="008B2274" w:rsidRPr="00036A76" w:rsidRDefault="00AA76F6" w:rsidP="000D7153">
      <w:pPr>
        <w:ind w:left="0"/>
        <w:contextualSpacing/>
        <w:jc w:val="left"/>
      </w:pPr>
      <w:r w:rsidRPr="00036A76">
        <w:t>M</w:t>
      </w:r>
      <w:r w:rsidR="006E4C76" w:rsidRPr="00036A76">
        <w:t>išljenj</w:t>
      </w:r>
      <w:r w:rsidR="008B2274" w:rsidRPr="00036A76">
        <w:t>e</w:t>
      </w:r>
      <w:r w:rsidRPr="00036A76">
        <w:t xml:space="preserve"> revizora za 2016</w:t>
      </w:r>
      <w:r w:rsidR="00D05C12" w:rsidRPr="00036A76">
        <w:t xml:space="preserve">. </w:t>
      </w:r>
      <w:r w:rsidR="006E6C97" w:rsidRPr="00036A76">
        <w:t>g</w:t>
      </w:r>
      <w:r w:rsidR="000D7153" w:rsidRPr="00036A76">
        <w:t>odinu</w:t>
      </w:r>
    </w:p>
    <w:p w:rsidR="006E6C97" w:rsidRPr="00036A76" w:rsidRDefault="006E6C97" w:rsidP="000D7153">
      <w:pPr>
        <w:ind w:left="0"/>
        <w:contextualSpacing/>
        <w:jc w:val="left"/>
        <w:rPr>
          <w:rFonts w:eastAsia="Calibri"/>
          <w:color w:val="FF0000"/>
        </w:rPr>
      </w:pPr>
    </w:p>
    <w:p w:rsidR="008B2274" w:rsidRPr="00036A76" w:rsidRDefault="008B2274" w:rsidP="008B2274">
      <w:pPr>
        <w:pStyle w:val="BodyText"/>
        <w:jc w:val="center"/>
        <w:rPr>
          <w:b/>
          <w:bCs/>
          <w:i/>
          <w:iCs/>
          <w:szCs w:val="24"/>
        </w:rPr>
      </w:pPr>
      <w:r w:rsidRPr="00036A76">
        <w:rPr>
          <w:b/>
          <w:bCs/>
          <w:i/>
          <w:iCs/>
          <w:szCs w:val="24"/>
        </w:rPr>
        <w:t>M I Š L J E N J E</w:t>
      </w:r>
    </w:p>
    <w:p w:rsidR="008B2274" w:rsidRPr="00036A76" w:rsidRDefault="008B2274" w:rsidP="008B2274">
      <w:pPr>
        <w:pStyle w:val="BodyText"/>
        <w:jc w:val="center"/>
        <w:rPr>
          <w:b/>
          <w:bCs/>
          <w:i/>
          <w:iCs/>
          <w:szCs w:val="24"/>
        </w:rPr>
      </w:pPr>
      <w:r w:rsidRPr="00036A76">
        <w:rPr>
          <w:b/>
          <w:bCs/>
          <w:i/>
          <w:iCs/>
          <w:szCs w:val="24"/>
        </w:rPr>
        <w:t>ovlaštenog revizora</w:t>
      </w:r>
    </w:p>
    <w:p w:rsidR="008B2274" w:rsidRPr="00036A76" w:rsidRDefault="008B2274" w:rsidP="008B2274">
      <w:pPr>
        <w:pStyle w:val="BodyText"/>
        <w:jc w:val="center"/>
        <w:rPr>
          <w:b/>
          <w:bCs/>
          <w:i/>
          <w:iCs/>
          <w:szCs w:val="24"/>
        </w:rPr>
      </w:pPr>
      <w:r w:rsidRPr="00036A76">
        <w:rPr>
          <w:b/>
          <w:bCs/>
          <w:i/>
          <w:iCs/>
          <w:szCs w:val="24"/>
        </w:rPr>
        <w:t>o izvršenoj reviziji finansijskih izvještaja Fonda</w:t>
      </w:r>
    </w:p>
    <w:p w:rsidR="008B2274" w:rsidRPr="00036A76" w:rsidRDefault="004D0D9F" w:rsidP="008B2274">
      <w:pPr>
        <w:pStyle w:val="BodyText"/>
        <w:jc w:val="center"/>
        <w:rPr>
          <w:b/>
          <w:bCs/>
          <w:i/>
          <w:iCs/>
          <w:szCs w:val="24"/>
          <w:lang w:val="sr-Latn-BA"/>
        </w:rPr>
      </w:pPr>
      <w:r w:rsidRPr="00036A76">
        <w:rPr>
          <w:b/>
          <w:bCs/>
          <w:i/>
          <w:iCs/>
          <w:szCs w:val="24"/>
        </w:rPr>
        <w:lastRenderedPageBreak/>
        <w:t xml:space="preserve"> za 201</w:t>
      </w:r>
      <w:r w:rsidRPr="00036A76">
        <w:rPr>
          <w:b/>
          <w:bCs/>
          <w:i/>
          <w:iCs/>
          <w:szCs w:val="24"/>
          <w:lang w:val="sr-Latn-BA"/>
        </w:rPr>
        <w:t>6</w:t>
      </w:r>
      <w:r w:rsidR="008B2274" w:rsidRPr="00036A76">
        <w:rPr>
          <w:b/>
          <w:bCs/>
          <w:i/>
          <w:iCs/>
          <w:szCs w:val="24"/>
        </w:rPr>
        <w:t>. godinu</w:t>
      </w:r>
    </w:p>
    <w:p w:rsidR="008B2274" w:rsidRPr="00036A76" w:rsidRDefault="008B2274" w:rsidP="008B2274">
      <w:pPr>
        <w:pStyle w:val="BodyText"/>
        <w:rPr>
          <w:szCs w:val="24"/>
          <w:lang w:val="hr-HR"/>
        </w:rPr>
      </w:pPr>
      <w:r w:rsidRPr="00036A76">
        <w:rPr>
          <w:b/>
          <w:bCs/>
          <w:szCs w:val="24"/>
        </w:rPr>
        <w:t>1.</w:t>
      </w:r>
      <w:r w:rsidRPr="00036A76">
        <w:rPr>
          <w:szCs w:val="24"/>
        </w:rPr>
        <w:t xml:space="preserve"> Revizija finansijskih izvještaja </w:t>
      </w:r>
      <w:r w:rsidR="0001797E" w:rsidRPr="00036A76">
        <w:rPr>
          <w:b/>
          <w:bCs/>
          <w:i/>
          <w:iCs/>
          <w:szCs w:val="24"/>
          <w:lang w:val="sr-Latn-BA"/>
        </w:rPr>
        <w:t>z</w:t>
      </w:r>
      <w:r w:rsidRPr="00036A76">
        <w:rPr>
          <w:b/>
          <w:bCs/>
          <w:i/>
          <w:iCs/>
          <w:szCs w:val="24"/>
        </w:rPr>
        <w:t xml:space="preserve">atvorenog investicionog fonda sa javnom ponudom "INVEST NOVA FOND" AD Bijeljina </w:t>
      </w:r>
      <w:r w:rsidRPr="00036A76">
        <w:rPr>
          <w:b/>
          <w:bCs/>
          <w:szCs w:val="24"/>
        </w:rPr>
        <w:t xml:space="preserve"> </w:t>
      </w:r>
      <w:r w:rsidR="00377DAB" w:rsidRPr="00036A76">
        <w:rPr>
          <w:szCs w:val="24"/>
        </w:rPr>
        <w:t>za 201</w:t>
      </w:r>
      <w:r w:rsidR="00F24624" w:rsidRPr="00036A76">
        <w:rPr>
          <w:szCs w:val="24"/>
          <w:lang w:val="sr-Latn-BA"/>
        </w:rPr>
        <w:t>6</w:t>
      </w:r>
      <w:r w:rsidRPr="00036A76">
        <w:rPr>
          <w:szCs w:val="24"/>
        </w:rPr>
        <w:t xml:space="preserve">. godinu obuhvatila je reviziju  </w:t>
      </w:r>
      <w:r w:rsidRPr="00036A76">
        <w:rPr>
          <w:i/>
          <w:iCs/>
          <w:szCs w:val="24"/>
        </w:rPr>
        <w:t>Bilansa uspjeha</w:t>
      </w:r>
      <w:r w:rsidRPr="00036A76">
        <w:rPr>
          <w:szCs w:val="24"/>
        </w:rPr>
        <w:t xml:space="preserve"> </w:t>
      </w:r>
      <w:r w:rsidRPr="00036A76">
        <w:rPr>
          <w:i/>
          <w:szCs w:val="24"/>
        </w:rPr>
        <w:t xml:space="preserve">investicionog fonda </w:t>
      </w:r>
      <w:r w:rsidRPr="00036A76">
        <w:rPr>
          <w:szCs w:val="24"/>
        </w:rPr>
        <w:t xml:space="preserve">(Izvještaja o ukupnom rezultatu u periodu) za period od 01.01. do </w:t>
      </w:r>
      <w:r w:rsidR="00D41392" w:rsidRPr="00036A76">
        <w:rPr>
          <w:szCs w:val="24"/>
        </w:rPr>
        <w:t>31.12.201</w:t>
      </w:r>
      <w:r w:rsidR="00F24624" w:rsidRPr="00036A76">
        <w:rPr>
          <w:szCs w:val="24"/>
          <w:lang w:val="sr-Latn-BA"/>
        </w:rPr>
        <w:t>6</w:t>
      </w:r>
      <w:r w:rsidRPr="00036A76">
        <w:rPr>
          <w:szCs w:val="24"/>
        </w:rPr>
        <w:t xml:space="preserve">. godine, </w:t>
      </w:r>
      <w:r w:rsidRPr="00036A76">
        <w:rPr>
          <w:i/>
          <w:szCs w:val="24"/>
        </w:rPr>
        <w:t>Bilansa stanja</w:t>
      </w:r>
      <w:r w:rsidRPr="00036A76">
        <w:rPr>
          <w:szCs w:val="24"/>
        </w:rPr>
        <w:t xml:space="preserve"> </w:t>
      </w:r>
      <w:r w:rsidRPr="00036A76">
        <w:rPr>
          <w:i/>
          <w:szCs w:val="24"/>
        </w:rPr>
        <w:t xml:space="preserve">investicionog fonda </w:t>
      </w:r>
      <w:r w:rsidRPr="00036A76">
        <w:rPr>
          <w:szCs w:val="24"/>
        </w:rPr>
        <w:t>(Izvještaja o finansij</w:t>
      </w:r>
      <w:r w:rsidR="00D41392" w:rsidRPr="00036A76">
        <w:rPr>
          <w:szCs w:val="24"/>
        </w:rPr>
        <w:t>skom položaju) na dan 31.12.201</w:t>
      </w:r>
      <w:r w:rsidR="00E06FFC" w:rsidRPr="00036A76">
        <w:rPr>
          <w:szCs w:val="24"/>
          <w:lang w:val="sr-Latn-BA"/>
        </w:rPr>
        <w:t>6</w:t>
      </w:r>
      <w:r w:rsidRPr="00036A76">
        <w:rPr>
          <w:szCs w:val="24"/>
        </w:rPr>
        <w:t>. godine, Bilansa tokova gotovine (Izvještaja o tokovima gotovine) z</w:t>
      </w:r>
      <w:r w:rsidR="00D41392" w:rsidRPr="00036A76">
        <w:rPr>
          <w:szCs w:val="24"/>
        </w:rPr>
        <w:t>a period od 01.01. do 31.12.201</w:t>
      </w:r>
      <w:r w:rsidR="00E06FFC" w:rsidRPr="00036A76">
        <w:rPr>
          <w:szCs w:val="24"/>
          <w:lang w:val="sr-Latn-BA"/>
        </w:rPr>
        <w:t>6</w:t>
      </w:r>
      <w:r w:rsidRPr="00036A76">
        <w:rPr>
          <w:szCs w:val="24"/>
        </w:rPr>
        <w:t xml:space="preserve">. godine, </w:t>
      </w:r>
      <w:r w:rsidRPr="00036A76">
        <w:rPr>
          <w:i/>
          <w:iCs/>
          <w:szCs w:val="24"/>
          <w:lang w:val="hr-HR"/>
        </w:rPr>
        <w:t xml:space="preserve">Izvještaj o promjenama neto imovine investicionog fonda </w:t>
      </w:r>
      <w:r w:rsidRPr="00036A76">
        <w:rPr>
          <w:szCs w:val="24"/>
          <w:lang w:val="hr-HR"/>
        </w:rPr>
        <w:t>z</w:t>
      </w:r>
      <w:r w:rsidR="00D41392" w:rsidRPr="00036A76">
        <w:rPr>
          <w:szCs w:val="24"/>
          <w:lang w:val="hr-HR"/>
        </w:rPr>
        <w:t>a period od 01.01. do 31.12.201</w:t>
      </w:r>
      <w:r w:rsidR="00E06FFC" w:rsidRPr="00036A76">
        <w:rPr>
          <w:szCs w:val="24"/>
          <w:lang w:val="hr-HR"/>
        </w:rPr>
        <w:t>6</w:t>
      </w:r>
      <w:r w:rsidRPr="00036A76">
        <w:rPr>
          <w:szCs w:val="24"/>
          <w:lang w:val="hr-HR"/>
        </w:rPr>
        <w:t>. godine</w:t>
      </w:r>
      <w:r w:rsidRPr="00036A76">
        <w:rPr>
          <w:i/>
          <w:iCs/>
          <w:szCs w:val="24"/>
          <w:lang w:val="hr-HR"/>
        </w:rPr>
        <w:t xml:space="preserve">, </w:t>
      </w:r>
      <w:r w:rsidRPr="00036A76">
        <w:rPr>
          <w:szCs w:val="24"/>
        </w:rPr>
        <w:t xml:space="preserve"> </w:t>
      </w:r>
      <w:r w:rsidRPr="00036A76">
        <w:rPr>
          <w:szCs w:val="24"/>
          <w:lang w:val="hr-HR"/>
        </w:rPr>
        <w:t xml:space="preserve">i drugih izvještaja koje Fond sastavlja, </w:t>
      </w:r>
      <w:r w:rsidRPr="00036A76">
        <w:rPr>
          <w:szCs w:val="24"/>
        </w:rPr>
        <w:t xml:space="preserve"> </w:t>
      </w:r>
      <w:r w:rsidRPr="00036A76">
        <w:rPr>
          <w:szCs w:val="24"/>
          <w:lang w:val="hr-HR"/>
        </w:rPr>
        <w:t>a na osnovu</w:t>
      </w:r>
      <w:r w:rsidRPr="00036A76">
        <w:rPr>
          <w:szCs w:val="24"/>
        </w:rPr>
        <w:t xml:space="preserve"> </w:t>
      </w:r>
      <w:r w:rsidRPr="00036A76">
        <w:rPr>
          <w:szCs w:val="24"/>
          <w:lang w:val="hr-HR"/>
        </w:rPr>
        <w:t xml:space="preserve"> "</w:t>
      </w:r>
      <w:r w:rsidRPr="00036A76">
        <w:rPr>
          <w:i/>
          <w:iCs/>
          <w:szCs w:val="24"/>
          <w:lang w:val="hr-HR"/>
        </w:rPr>
        <w:t>Zakona o računovodstvu i reviziji Republike Srpske</w:t>
      </w:r>
      <w:r w:rsidRPr="00036A76">
        <w:rPr>
          <w:szCs w:val="24"/>
          <w:lang w:val="hr-HR"/>
        </w:rPr>
        <w:t>", Međunarodnih standarda revizije i pratećih propisa koji regulišu ovu oblast</w:t>
      </w:r>
      <w:r w:rsidRPr="00036A76">
        <w:rPr>
          <w:szCs w:val="24"/>
        </w:rPr>
        <w:t xml:space="preserve">. </w:t>
      </w:r>
      <w:r w:rsidRPr="00036A76">
        <w:rPr>
          <w:szCs w:val="24"/>
          <w:lang w:val="hr-HR"/>
        </w:rPr>
        <w:t>Bilješke</w:t>
      </w:r>
      <w:r w:rsidRPr="00036A76">
        <w:rPr>
          <w:szCs w:val="24"/>
        </w:rPr>
        <w:t xml:space="preserve"> </w:t>
      </w:r>
      <w:r w:rsidRPr="00036A76">
        <w:rPr>
          <w:szCs w:val="24"/>
          <w:lang w:val="hr-HR"/>
        </w:rPr>
        <w:t>- note uz finansijske izvještaje, shodno RS RS 1: Predstavljanje – prezentacija finansijskih izvještaja stavljene su na uvid uz finansijske izvještaje.</w:t>
      </w:r>
    </w:p>
    <w:p w:rsidR="008B2274" w:rsidRPr="00036A76" w:rsidRDefault="008B2274" w:rsidP="008B2274">
      <w:pPr>
        <w:pStyle w:val="BodyText"/>
        <w:tabs>
          <w:tab w:val="num" w:pos="720"/>
        </w:tabs>
        <w:rPr>
          <w:szCs w:val="24"/>
          <w:lang w:val="sr-Latn-BA"/>
        </w:rPr>
      </w:pPr>
      <w:r w:rsidRPr="00036A76">
        <w:rPr>
          <w:b/>
          <w:bCs/>
          <w:szCs w:val="24"/>
        </w:rPr>
        <w:t>2.</w:t>
      </w:r>
      <w:r w:rsidRPr="00036A76">
        <w:rPr>
          <w:szCs w:val="24"/>
        </w:rPr>
        <w:t xml:space="preserve"> Odgovornost za računovodstvene izvještaje i podatke prikazane u njima jeste na  Društvu za upravljanje Fondom. Odgovornost revizora je da na osnovu izvršene revizije izrazi mišljenje o prikazanim finansijskim izvještajima. Informacije i objašnjenja koja su tražena u postupku revizije bila su na raspolaganju.</w:t>
      </w:r>
    </w:p>
    <w:p w:rsidR="008B2274" w:rsidRPr="00036A76" w:rsidRDefault="008B2274" w:rsidP="000D7153">
      <w:pPr>
        <w:pStyle w:val="BodyText"/>
        <w:tabs>
          <w:tab w:val="num" w:pos="720"/>
        </w:tabs>
        <w:rPr>
          <w:szCs w:val="24"/>
          <w:lang w:val="sr-Latn-BA"/>
        </w:rPr>
      </w:pPr>
      <w:r w:rsidRPr="00036A76">
        <w:rPr>
          <w:b/>
          <w:bCs/>
          <w:szCs w:val="24"/>
        </w:rPr>
        <w:t>3.</w:t>
      </w:r>
      <w:r w:rsidRPr="00036A76">
        <w:rPr>
          <w:szCs w:val="24"/>
        </w:rPr>
        <w:t xml:space="preserve"> Re</w:t>
      </w:r>
      <w:r w:rsidR="00610015" w:rsidRPr="00036A76">
        <w:rPr>
          <w:szCs w:val="24"/>
        </w:rPr>
        <w:t>vizija je izvršena u martu  201</w:t>
      </w:r>
      <w:r w:rsidR="00E06FFC" w:rsidRPr="00036A76">
        <w:rPr>
          <w:szCs w:val="24"/>
          <w:lang w:val="sr-Latn-BA"/>
        </w:rPr>
        <w:t>7</w:t>
      </w:r>
      <w:r w:rsidRPr="00036A76">
        <w:rPr>
          <w:szCs w:val="24"/>
        </w:rPr>
        <w:t xml:space="preserve">. godine, a u skladu sa </w:t>
      </w:r>
      <w:r w:rsidRPr="00036A76">
        <w:rPr>
          <w:i/>
          <w:iCs/>
          <w:szCs w:val="24"/>
        </w:rPr>
        <w:t>Međunarodnim standardima revizije</w:t>
      </w:r>
      <w:r w:rsidRPr="00036A76">
        <w:rPr>
          <w:szCs w:val="24"/>
        </w:rPr>
        <w:t xml:space="preserve"> koji zahtjevaju da se revizija planira i izvrši na način koji omogućava da se u razumnoj mjeri može utvrditi da računovodstveni izvještaji ne sadrže pogrešne, materijalno značajne informacije. Revizija uključuje ispitivanje dokaza na bazi provjere uzoraka kojima se potvrđuju iznosi i informacije objelodanjeni u računovodstvenim izvještajima. Revizija, takođe, uključuje ocjenu primjenjenih računovodstvenih načela i vrednovanje značajnih procjena koje je izvršila Uprava i rukovodstvo Fonda, kao i sveukupnu ocjenu prezentacije računovodstvenih izvještaja.</w:t>
      </w:r>
    </w:p>
    <w:p w:rsidR="008B2274" w:rsidRPr="00036A76" w:rsidRDefault="008B2274" w:rsidP="008B2274">
      <w:pPr>
        <w:pStyle w:val="BodyText"/>
        <w:tabs>
          <w:tab w:val="num" w:pos="720"/>
        </w:tabs>
        <w:rPr>
          <w:szCs w:val="24"/>
          <w:lang w:val="sr-Latn-BA"/>
        </w:rPr>
      </w:pPr>
      <w:r w:rsidRPr="00036A76">
        <w:rPr>
          <w:b/>
          <w:bCs/>
          <w:szCs w:val="24"/>
        </w:rPr>
        <w:t>4.</w:t>
      </w:r>
      <w:r w:rsidRPr="00036A76">
        <w:rPr>
          <w:szCs w:val="24"/>
        </w:rPr>
        <w:t xml:space="preserve"> Smatramo da izvršena revizija obezbjeđuje razumnu osnovu za izražavanje revizorskog mišljenja.</w:t>
      </w:r>
    </w:p>
    <w:p w:rsidR="008B2274" w:rsidRPr="00036A76" w:rsidRDefault="008B2274" w:rsidP="008B2274">
      <w:pPr>
        <w:pStyle w:val="BodyText"/>
        <w:tabs>
          <w:tab w:val="num" w:pos="720"/>
        </w:tabs>
        <w:rPr>
          <w:bCs/>
          <w:iCs/>
          <w:szCs w:val="24"/>
          <w:lang w:val="sr-Latn-BA"/>
        </w:rPr>
      </w:pPr>
      <w:r w:rsidRPr="00036A76">
        <w:rPr>
          <w:b/>
          <w:bCs/>
          <w:szCs w:val="24"/>
        </w:rPr>
        <w:t>5.</w:t>
      </w:r>
      <w:r w:rsidRPr="00036A76">
        <w:rPr>
          <w:szCs w:val="24"/>
        </w:rPr>
        <w:t xml:space="preserve"> Naše je mišljenje da prikazani finansijski izvještaji </w:t>
      </w:r>
      <w:r w:rsidR="0001797E" w:rsidRPr="00036A76">
        <w:rPr>
          <w:b/>
          <w:bCs/>
          <w:i/>
          <w:iCs/>
          <w:szCs w:val="24"/>
          <w:lang w:val="sr-Latn-BA"/>
        </w:rPr>
        <w:t>z</w:t>
      </w:r>
      <w:r w:rsidRPr="00036A76">
        <w:rPr>
          <w:b/>
          <w:bCs/>
          <w:i/>
          <w:iCs/>
          <w:szCs w:val="24"/>
        </w:rPr>
        <w:t>atvorenog investicionog fonda sa javnom ponudom "INVEST NOVA FOND" AD Bijeljina</w:t>
      </w:r>
      <w:r w:rsidRPr="00036A76">
        <w:rPr>
          <w:bCs/>
          <w:iCs/>
          <w:szCs w:val="24"/>
        </w:rPr>
        <w:t xml:space="preserve"> </w:t>
      </w:r>
      <w:r w:rsidRPr="00036A76">
        <w:rPr>
          <w:bCs/>
          <w:szCs w:val="24"/>
        </w:rPr>
        <w:t xml:space="preserve"> </w:t>
      </w:r>
      <w:r w:rsidR="00610015" w:rsidRPr="00036A76">
        <w:rPr>
          <w:szCs w:val="24"/>
        </w:rPr>
        <w:t>za 201</w:t>
      </w:r>
      <w:r w:rsidR="00E06FFC" w:rsidRPr="00036A76">
        <w:rPr>
          <w:szCs w:val="24"/>
          <w:lang w:val="sr-Latn-BA"/>
        </w:rPr>
        <w:t>6</w:t>
      </w:r>
      <w:r w:rsidRPr="00036A76">
        <w:rPr>
          <w:szCs w:val="24"/>
        </w:rPr>
        <w:t xml:space="preserve">. godinu u svim materijalno značajnim aspektima </w:t>
      </w:r>
      <w:r w:rsidRPr="00036A76">
        <w:rPr>
          <w:bCs/>
          <w:iCs/>
          <w:szCs w:val="24"/>
        </w:rPr>
        <w:t>predstavljaju realno i objektivno finansijsk</w:t>
      </w:r>
      <w:r w:rsidR="00610015" w:rsidRPr="00036A76">
        <w:rPr>
          <w:bCs/>
          <w:iCs/>
          <w:szCs w:val="24"/>
        </w:rPr>
        <w:t>o stanje Fonda na dan 31.12.201</w:t>
      </w:r>
      <w:r w:rsidR="00E06FFC" w:rsidRPr="00036A76">
        <w:rPr>
          <w:bCs/>
          <w:iCs/>
          <w:szCs w:val="24"/>
          <w:lang w:val="sr-Latn-BA"/>
        </w:rPr>
        <w:t>6</w:t>
      </w:r>
      <w:r w:rsidRPr="00036A76">
        <w:rPr>
          <w:bCs/>
          <w:iCs/>
          <w:szCs w:val="24"/>
        </w:rPr>
        <w:t>. godine i rezultate poslovanja za pe</w:t>
      </w:r>
      <w:r w:rsidR="00610015" w:rsidRPr="00036A76">
        <w:rPr>
          <w:bCs/>
          <w:iCs/>
          <w:szCs w:val="24"/>
        </w:rPr>
        <w:t>riod koji se završava 31.12.201</w:t>
      </w:r>
      <w:r w:rsidR="00E06FFC" w:rsidRPr="00036A76">
        <w:rPr>
          <w:bCs/>
          <w:iCs/>
          <w:szCs w:val="24"/>
          <w:lang w:val="sr-Latn-BA"/>
        </w:rPr>
        <w:t>6</w:t>
      </w:r>
      <w:r w:rsidRPr="00036A76">
        <w:rPr>
          <w:bCs/>
          <w:iCs/>
          <w:szCs w:val="24"/>
        </w:rPr>
        <w:t>. godine, te da su u postupku sačinjavanja finansijskih izvještaja primjenjena propisana rješenja i standardi u mjeri u kojoj se obezbjeđuje da oni  ne sadrže materijalno značajne pogreške.</w:t>
      </w:r>
    </w:p>
    <w:p w:rsidR="008B2274" w:rsidRPr="00036A76" w:rsidRDefault="008B2274" w:rsidP="008B2274">
      <w:pPr>
        <w:pStyle w:val="BodyText"/>
        <w:rPr>
          <w:b/>
          <w:bCs/>
          <w:szCs w:val="24"/>
        </w:rPr>
      </w:pPr>
      <w:r w:rsidRPr="00036A76">
        <w:rPr>
          <w:b/>
          <w:bCs/>
          <w:szCs w:val="24"/>
        </w:rPr>
        <w:t>6.</w:t>
      </w:r>
      <w:r w:rsidRPr="00036A76">
        <w:rPr>
          <w:szCs w:val="24"/>
        </w:rPr>
        <w:t xml:space="preserve"> Informacije koje su na kraju  Izvještaja o reviziji prezentovane kao </w:t>
      </w:r>
      <w:r w:rsidRPr="00036A76">
        <w:rPr>
          <w:i/>
          <w:iCs/>
          <w:szCs w:val="24"/>
        </w:rPr>
        <w:t>Napomene uz finansijski izvještaj</w:t>
      </w:r>
      <w:r w:rsidRPr="00036A76">
        <w:rPr>
          <w:szCs w:val="24"/>
        </w:rPr>
        <w:t xml:space="preserve"> date su u svrhu dodatnih analiza i objašnjenja i svaka od njih odnosi se na pojedinačna pitanja. Date informacije bile su predmet pažnje u postupku revizije finansijskih izvještaja i primjenjenih revizorskih procedura i, po našem mišljenju, objektivno prezentuju, u materijalno značajnim aspektima, vezu sa finansijskim izvještajima posmatrano u cjelini.</w:t>
      </w:r>
    </w:p>
    <w:p w:rsidR="008B2274" w:rsidRPr="00036A76" w:rsidRDefault="008B2274" w:rsidP="008B2274">
      <w:pPr>
        <w:pStyle w:val="BodyText"/>
        <w:rPr>
          <w:b/>
          <w:bCs/>
          <w:szCs w:val="24"/>
          <w:lang w:val="sr-Latn-BA"/>
        </w:rPr>
      </w:pPr>
    </w:p>
    <w:p w:rsidR="008B2274" w:rsidRPr="00036A76" w:rsidRDefault="00610015" w:rsidP="008B2274">
      <w:pPr>
        <w:pStyle w:val="BodyText"/>
        <w:rPr>
          <w:szCs w:val="24"/>
        </w:rPr>
      </w:pPr>
      <w:r w:rsidRPr="00036A76">
        <w:rPr>
          <w:szCs w:val="24"/>
        </w:rPr>
        <w:t>U Bijeljini, 2</w:t>
      </w:r>
      <w:r w:rsidRPr="00036A76">
        <w:rPr>
          <w:szCs w:val="24"/>
          <w:lang w:val="sr-Latn-BA"/>
        </w:rPr>
        <w:t>6</w:t>
      </w:r>
      <w:r w:rsidRPr="00036A76">
        <w:rPr>
          <w:szCs w:val="24"/>
        </w:rPr>
        <w:t xml:space="preserve"> mart 201</w:t>
      </w:r>
      <w:r w:rsidR="00E06FFC" w:rsidRPr="00036A76">
        <w:rPr>
          <w:szCs w:val="24"/>
          <w:lang w:val="sr-Latn-BA"/>
        </w:rPr>
        <w:t>7</w:t>
      </w:r>
      <w:r w:rsidR="008B2274" w:rsidRPr="00036A76">
        <w:rPr>
          <w:szCs w:val="24"/>
        </w:rPr>
        <w:t>. godine</w:t>
      </w:r>
    </w:p>
    <w:p w:rsidR="008B2274" w:rsidRPr="00036A76" w:rsidRDefault="008B2274" w:rsidP="008B2274">
      <w:pPr>
        <w:pStyle w:val="BodyText"/>
        <w:jc w:val="left"/>
        <w:rPr>
          <w:szCs w:val="24"/>
          <w:lang w:val="sr-Latn-BA"/>
        </w:rPr>
      </w:pPr>
      <w:r w:rsidRPr="00036A76">
        <w:rPr>
          <w:szCs w:val="24"/>
        </w:rPr>
        <w:t>Ovlašteni revizor:</w:t>
      </w:r>
      <w:r w:rsidRPr="00036A76">
        <w:rPr>
          <w:szCs w:val="24"/>
          <w:lang w:val="sr-Latn-BA"/>
        </w:rPr>
        <w:t xml:space="preserve"> </w:t>
      </w:r>
      <w:r w:rsidRPr="00036A76">
        <w:rPr>
          <w:szCs w:val="24"/>
        </w:rPr>
        <w:t>Prof. dr Rajko RADOVIĆ</w:t>
      </w:r>
    </w:p>
    <w:p w:rsidR="000D7153" w:rsidRPr="00036A76" w:rsidRDefault="008B2274" w:rsidP="000D7153">
      <w:pPr>
        <w:pStyle w:val="BodyText"/>
        <w:jc w:val="left"/>
        <w:rPr>
          <w:szCs w:val="24"/>
          <w:lang w:val="sr-Latn-BA"/>
        </w:rPr>
      </w:pPr>
      <w:r w:rsidRPr="00036A76">
        <w:rPr>
          <w:szCs w:val="24"/>
        </w:rPr>
        <w:t>Redni broj licence: 429/14</w:t>
      </w:r>
    </w:p>
    <w:p w:rsidR="00C17390" w:rsidRPr="00036A76" w:rsidRDefault="008B2274" w:rsidP="00B5457E">
      <w:pPr>
        <w:pStyle w:val="BodyText"/>
        <w:jc w:val="left"/>
        <w:rPr>
          <w:lang w:val="sr-Latn-BA"/>
        </w:rPr>
      </w:pPr>
      <w:r w:rsidRPr="00036A76">
        <w:rPr>
          <w:color w:val="0000FF"/>
          <w:szCs w:val="24"/>
        </w:rPr>
        <w:t xml:space="preserve">                                                                                      </w:t>
      </w:r>
      <w:r w:rsidRPr="00036A76">
        <w:rPr>
          <w:szCs w:val="24"/>
        </w:rPr>
        <w:t xml:space="preserve">                                                            </w:t>
      </w:r>
      <w:r w:rsidR="000D7153" w:rsidRPr="00036A76">
        <w:rPr>
          <w:szCs w:val="24"/>
        </w:rPr>
        <w:t xml:space="preserve">                           </w:t>
      </w:r>
    </w:p>
    <w:p w:rsidR="00D05C12" w:rsidRPr="00036A76" w:rsidRDefault="00D05C12" w:rsidP="00D05C12">
      <w:pPr>
        <w:ind w:left="0"/>
        <w:contextualSpacing/>
        <w:jc w:val="left"/>
      </w:pPr>
      <w:r w:rsidRPr="00036A76">
        <w:t>(2015)</w:t>
      </w:r>
    </w:p>
    <w:p w:rsidR="000D7153" w:rsidRPr="00036A76" w:rsidRDefault="00044856" w:rsidP="000D7153">
      <w:pPr>
        <w:ind w:left="0"/>
        <w:contextualSpacing/>
        <w:jc w:val="left"/>
      </w:pPr>
      <w:r w:rsidRPr="00036A76">
        <w:t>Bilans stanja investicionog F</w:t>
      </w:r>
      <w:r w:rsidR="000D7153" w:rsidRPr="00036A76">
        <w:t>onda – izv</w:t>
      </w:r>
      <w:r w:rsidRPr="00036A76">
        <w:t>ještaj o finansijskom položaju F</w:t>
      </w:r>
      <w:r w:rsidR="000D7153" w:rsidRPr="00036A76">
        <w:t xml:space="preserve">onda </w:t>
      </w:r>
    </w:p>
    <w:p w:rsidR="000D7153" w:rsidRPr="00036A76" w:rsidRDefault="000D7153" w:rsidP="000D7153">
      <w:pPr>
        <w:ind w:left="0"/>
        <w:contextualSpacing/>
        <w:jc w:val="left"/>
        <w:rPr>
          <w:color w:val="FF0000"/>
        </w:rPr>
      </w:pPr>
      <w:r w:rsidRPr="00036A76">
        <w:t>na dan 31.12.2015. godine</w:t>
      </w:r>
      <w:r w:rsidRPr="00036A76">
        <w:rPr>
          <w:color w:val="FF0000"/>
        </w:rPr>
        <w:t xml:space="preserve"> </w:t>
      </w:r>
    </w:p>
    <w:tbl>
      <w:tblPr>
        <w:tblW w:w="10012" w:type="dxa"/>
        <w:tblInd w:w="93" w:type="dxa"/>
        <w:tblLook w:val="04A0"/>
      </w:tblPr>
      <w:tblGrid>
        <w:gridCol w:w="1431"/>
        <w:gridCol w:w="5040"/>
        <w:gridCol w:w="680"/>
        <w:gridCol w:w="1600"/>
        <w:gridCol w:w="1460"/>
      </w:tblGrid>
      <w:tr w:rsidR="000D7153" w:rsidRPr="00036A76" w:rsidTr="000D7153">
        <w:trPr>
          <w:trHeight w:val="255"/>
        </w:trPr>
        <w:tc>
          <w:tcPr>
            <w:tcW w:w="1232"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5040" w:type="dxa"/>
            <w:tcBorders>
              <w:top w:val="nil"/>
              <w:left w:val="nil"/>
              <w:bottom w:val="nil"/>
              <w:right w:val="nil"/>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p>
        </w:tc>
        <w:tc>
          <w:tcPr>
            <w:tcW w:w="680" w:type="dxa"/>
            <w:tcBorders>
              <w:top w:val="nil"/>
              <w:left w:val="nil"/>
              <w:bottom w:val="nil"/>
              <w:right w:val="nil"/>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p>
        </w:tc>
        <w:tc>
          <w:tcPr>
            <w:tcW w:w="1600" w:type="dxa"/>
            <w:tcBorders>
              <w:top w:val="nil"/>
              <w:left w:val="nil"/>
              <w:bottom w:val="nil"/>
              <w:right w:val="nil"/>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p>
        </w:tc>
        <w:tc>
          <w:tcPr>
            <w:tcW w:w="1460" w:type="dxa"/>
            <w:tcBorders>
              <w:top w:val="nil"/>
              <w:left w:val="nil"/>
              <w:bottom w:val="nil"/>
              <w:right w:val="nil"/>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(iznos u KM)</w:t>
            </w:r>
          </w:p>
        </w:tc>
      </w:tr>
      <w:tr w:rsidR="000D7153" w:rsidRPr="00036A76" w:rsidTr="000D7153">
        <w:trPr>
          <w:trHeight w:val="45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Grupa računa</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Pozicija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AOP</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Tekuća godina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xml:space="preserve">Prethodna godina </w:t>
            </w:r>
            <w:r w:rsidRPr="00036A76">
              <w:rPr>
                <w:rFonts w:eastAsia="Times New Roman"/>
                <w:sz w:val="18"/>
                <w:szCs w:val="18"/>
              </w:rPr>
              <w:lastRenderedPageBreak/>
              <w:t>korigovana</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lastRenderedPageBreak/>
              <w:t>1</w:t>
            </w:r>
          </w:p>
        </w:tc>
        <w:tc>
          <w:tcPr>
            <w:tcW w:w="50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160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w:t>
            </w:r>
          </w:p>
        </w:tc>
        <w:tc>
          <w:tcPr>
            <w:tcW w:w="14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A. UKUPNA IMOVINA (002+003+010+018+019)</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26.957.243</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31.934.924</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100 do 102</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 Gotovina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510.154</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329.776</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 - Ulaganja fonda (004 do 009)</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26.434.612</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31.591.536</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200 do 205</w:t>
            </w:r>
          </w:p>
        </w:tc>
        <w:tc>
          <w:tcPr>
            <w:tcW w:w="50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Ulaganja fonda u finansijska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004</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15.410.131</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15.891.795</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210 do 215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Ulaganja fonda u finansijska sredstva raspoloživa za prodaju</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005</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11.024.481</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15.699.741</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220 do 225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Ulaganja fonda u finansijska sredstva koja se drži do roka dospijeća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006</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230 do 235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Depoziti i plasmani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007</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240 do 249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5. Ulaganja u nekretnine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008</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6. Ostala ulaganja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009</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III - Potraživanja (011 do 017)</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010</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Potraživanja po osnovu prodaje HOV</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011</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Potraživanja po osnovu prodaje nekretnina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012</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302</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Potraživanja po osnovu kamata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013</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xml:space="preserve">4. Potraživanja po osnovu </w:t>
            </w:r>
            <w:r w:rsidR="00BD62DE" w:rsidRPr="00036A76">
              <w:rPr>
                <w:rFonts w:eastAsia="Times New Roman"/>
                <w:sz w:val="18"/>
                <w:szCs w:val="18"/>
              </w:rPr>
              <w:t>dividend</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014</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304</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5. Potraživanja po osnovu datih avansa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015</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6. Ostala potraživanja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016</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310 do 312</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7. Potraživanja od društva za upravljanje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017</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320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IV - Odložena poreska sredstva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018</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 AVR</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12.477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13.612</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B. OBAVEZA (021+025+030+031+034+037+038+039)</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1.945.767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1.884.942</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 Obaveze iz poslovanja fonda (022 do 024)</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1.982</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400,401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Obaveze po osnovu ulaganja u HOV</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022</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1.982</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Obaveze po osnovu ulaganja u nekretnine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023</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404</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Ostale obaveze iz poslovanja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024</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 -Obaveze po osnovu troškova poslovanja (026 do 030)</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025</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12.718</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14.844</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Obaveze prema banci depozitaru</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026</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1.000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2.750</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414</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Obaveze za učešće u dobitku</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027</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Obaveze za porez na dobit</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028</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411,412,413,419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Ostale obaveze iz poslovanja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029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11.718</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12.094</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420 do 429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III- Obaveze prema društvu za upravljanje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1.784.222</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1.861.636</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IV-Kratkoročne finansijske obaveze (032+033)</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Kratkoročni krediti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431,439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Ostale kratkoročne fiinansijske obaveze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44</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 Dugoročne obaveze (035+036)</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034</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440,441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Dugoročni krediti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035</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449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Ostale dugoročne obaveze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036</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450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VI - Ostale obaveze fonda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037</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460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VII- Odložene poreske obaveze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038</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47</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VIII- PVR</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039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146.845</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8.462</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lastRenderedPageBreak/>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 NETO IMOVINA FONDA (001-020)</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25.011.476</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30.049.982</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G. KAPITAL (042+045+048+053+054-057</w:t>
            </w:r>
            <w:r w:rsidRPr="00036A76">
              <w:rPr>
                <w:rFonts w:eastAsia="Times New Roman"/>
                <w:b/>
                <w:bCs/>
                <w:sz w:val="18"/>
                <w:szCs w:val="18"/>
                <w:u w:val="single"/>
              </w:rPr>
              <w:t>+</w:t>
            </w:r>
            <w:r w:rsidRPr="00036A76">
              <w:rPr>
                <w:rFonts w:eastAsia="Times New Roman"/>
                <w:b/>
                <w:bCs/>
                <w:sz w:val="18"/>
                <w:szCs w:val="18"/>
              </w:rPr>
              <w:t xml:space="preserve"> 060)</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25.011.476</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30.049.982</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 Osnovni kapital (043+044)</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510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Akcijsi kapital-redovne akcije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512</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Udjeli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044</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52</w:t>
            </w:r>
          </w:p>
        </w:tc>
        <w:tc>
          <w:tcPr>
            <w:tcW w:w="5040" w:type="dxa"/>
            <w:tcBorders>
              <w:top w:val="nil"/>
              <w:left w:val="nil"/>
              <w:bottom w:val="nil"/>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 Kapitalne rezerve (046+047)</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045</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2.619.595</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2.619.595</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520</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Emisiona premija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046</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521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xml:space="preserve">2. Ostale kapitalne </w:t>
            </w:r>
            <w:r w:rsidR="00BD62DE" w:rsidRPr="00036A76">
              <w:rPr>
                <w:rFonts w:eastAsia="Times New Roman"/>
                <w:sz w:val="18"/>
                <w:szCs w:val="18"/>
              </w:rPr>
              <w:t>reserve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047</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2.619.595</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2.619.595</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III- Revalorizacione rezerve (049 do 052)</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048</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-45.888.357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-42.626.279</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530</w:t>
            </w:r>
          </w:p>
        </w:tc>
        <w:tc>
          <w:tcPr>
            <w:tcW w:w="50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Revalorizacione rezerve po osnovu revalorizacije finansijskih sred. raspoloživih za prodaju</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049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-45.888.357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-42.626.279</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531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Revalorizacione rezerve po osnovu instrumenata zaštite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Revalorizacione rezerve po osnovu revalorizacije nekretnina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xml:space="preserve">4. Ostale revalorizacione rezerve </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54</w:t>
            </w:r>
          </w:p>
        </w:tc>
        <w:tc>
          <w:tcPr>
            <w:tcW w:w="50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IV - Rezerve iz dobiti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 Neraspoređena dobi (055+056)</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054</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550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Neraspoređeni dobitak ranijih godina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055</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551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Neraspoređeni dobitak tekuće godine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056</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56</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VI - Nepokriveni gubitak (058+059)</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057</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103.818.590</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103.223.288</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560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Nepokriveni gubitak ranijih godina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058</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103.223.288</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94.999.907</w:t>
            </w:r>
          </w:p>
        </w:tc>
      </w:tr>
      <w:tr w:rsidR="000D7153" w:rsidRPr="00036A76" w:rsidTr="000D7153">
        <w:trPr>
          <w:trHeight w:val="255"/>
        </w:trPr>
        <w:tc>
          <w:tcPr>
            <w:tcW w:w="1232" w:type="dxa"/>
            <w:tcBorders>
              <w:top w:val="nil"/>
              <w:left w:val="single" w:sz="4" w:space="0" w:color="auto"/>
              <w:bottom w:val="nil"/>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561</w:t>
            </w:r>
          </w:p>
        </w:tc>
        <w:tc>
          <w:tcPr>
            <w:tcW w:w="5040" w:type="dxa"/>
            <w:tcBorders>
              <w:top w:val="nil"/>
              <w:left w:val="nil"/>
              <w:bottom w:val="nil"/>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Nepokriveni gubitak tekuće godine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059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595.302</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8.223.381</w:t>
            </w:r>
          </w:p>
        </w:tc>
      </w:tr>
      <w:tr w:rsidR="000D7153" w:rsidRPr="00036A76" w:rsidTr="000D7153">
        <w:trPr>
          <w:trHeight w:val="255"/>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57</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VII-Nerealizovani dobitak/gubitak (061+062)</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060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-15.092.459</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-13.911.333</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570</w:t>
            </w:r>
          </w:p>
        </w:tc>
        <w:tc>
          <w:tcPr>
            <w:tcW w:w="50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Nerealizovani dobici po osnovu finansijskih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061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571</w:t>
            </w:r>
          </w:p>
        </w:tc>
        <w:tc>
          <w:tcPr>
            <w:tcW w:w="50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Nerealizovani gubici  po osnovu finansijskih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062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-15.092.459</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-13.911.333</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D. BROJ EMITOVANIH AKCIJA/UDJELA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063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Đ. NETO IMOVINA PO UDJELU/AKCIJI (040/063)</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064</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0,13</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0,16</w:t>
            </w:r>
          </w:p>
        </w:tc>
      </w:tr>
      <w:tr w:rsidR="000D7153" w:rsidRPr="00036A76" w:rsidTr="000D7153">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xml:space="preserve">E. VANBILANSNE EVIDENCIJE                                                                                              </w:t>
            </w:r>
            <w:r w:rsidRPr="00036A76">
              <w:rPr>
                <w:rFonts w:eastAsia="Times New Roman"/>
                <w:sz w:val="18"/>
                <w:szCs w:val="18"/>
              </w:rPr>
              <w:t xml:space="preserve"> 1. Vanbilansna aktiva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065</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Vanbilansna pasiva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066</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bl>
    <w:p w:rsidR="000D7153" w:rsidRPr="00036A76" w:rsidRDefault="000D7153" w:rsidP="000D7153">
      <w:pPr>
        <w:ind w:left="0"/>
        <w:contextualSpacing/>
        <w:jc w:val="left"/>
        <w:rPr>
          <w:color w:val="FF0000"/>
          <w:sz w:val="18"/>
          <w:szCs w:val="18"/>
        </w:rPr>
      </w:pPr>
    </w:p>
    <w:p w:rsidR="000D7153" w:rsidRPr="00036A76" w:rsidRDefault="00D05C12" w:rsidP="000D7153">
      <w:pPr>
        <w:ind w:left="0"/>
        <w:contextualSpacing/>
        <w:jc w:val="left"/>
      </w:pPr>
      <w:r w:rsidRPr="00036A76">
        <w:t>Bilans uspjeha</w:t>
      </w:r>
      <w:r w:rsidR="000D7153" w:rsidRPr="00036A76">
        <w:t xml:space="preserve"> – izvještaj o ukupnom rezultatu u periodu </w:t>
      </w:r>
    </w:p>
    <w:p w:rsidR="00D05C12" w:rsidRPr="00036A76" w:rsidRDefault="000D7153" w:rsidP="000D7153">
      <w:pPr>
        <w:ind w:left="0"/>
        <w:contextualSpacing/>
        <w:jc w:val="left"/>
      </w:pPr>
      <w:r w:rsidRPr="00036A76">
        <w:t>od 01.01.2015. godine do 31.12.2015. godine</w:t>
      </w:r>
    </w:p>
    <w:tbl>
      <w:tblPr>
        <w:tblW w:w="9020" w:type="dxa"/>
        <w:tblInd w:w="93" w:type="dxa"/>
        <w:tblLook w:val="04A0"/>
      </w:tblPr>
      <w:tblGrid>
        <w:gridCol w:w="846"/>
        <w:gridCol w:w="5200"/>
        <w:gridCol w:w="580"/>
        <w:gridCol w:w="1280"/>
        <w:gridCol w:w="1260"/>
      </w:tblGrid>
      <w:tr w:rsidR="000D7153" w:rsidRPr="00036A76" w:rsidTr="000D7153">
        <w:trPr>
          <w:trHeight w:val="255"/>
        </w:trPr>
        <w:tc>
          <w:tcPr>
            <w:tcW w:w="70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520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58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128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126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(iznos u KM)</w:t>
            </w:r>
          </w:p>
        </w:tc>
      </w:tr>
      <w:tr w:rsidR="000D7153" w:rsidRPr="00036A76" w:rsidTr="000D7153">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Grupa računa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Naziv pozicije</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AOP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Tekuća godina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Prethodna godina</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w:t>
            </w:r>
          </w:p>
        </w:tc>
        <w:tc>
          <w:tcPr>
            <w:tcW w:w="520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12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A. REALIZOVANI PRIHODI I RASHODI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201</w:t>
            </w:r>
          </w:p>
        </w:tc>
        <w:tc>
          <w:tcPr>
            <w:tcW w:w="12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 Poslovni prihodi (203 do 206)</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1.487.647</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962.781</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700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xml:space="preserve">1. Prihodi od </w:t>
            </w:r>
            <w:r w:rsidR="00BD62DE" w:rsidRPr="00036A76">
              <w:rPr>
                <w:rFonts w:eastAsia="Times New Roman"/>
                <w:sz w:val="18"/>
                <w:szCs w:val="18"/>
              </w:rPr>
              <w:t>dividend</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203</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1.206.445</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738.090</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701, 702</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Prihodi od kamata i amortizacije premije (diskonta) po osnovu HOV sa fiksnim rokom dospijeća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204</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281.202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224.691</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703</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Prihodi od zakupa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709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Ostali poslovni prihodi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206</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 - Realizovani dobitak (208 do 211)</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207</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9.979</w:t>
            </w:r>
          </w:p>
        </w:tc>
        <w:tc>
          <w:tcPr>
            <w:tcW w:w="12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12.383</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710</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Realizovani dobici po osnovu prodaje hartija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9.979</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12.383</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711</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xml:space="preserve">2. Realizovani dobitak po osnovu kursnih razlika </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209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712</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Realizovani dobici po osnovu prodaje nekretnina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719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Ostali realizovani dobici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211</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lastRenderedPageBreak/>
              <w:t>73</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III- Poslovni rashodi (213 do 219)</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212</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527.591</w:t>
            </w:r>
          </w:p>
        </w:tc>
        <w:tc>
          <w:tcPr>
            <w:tcW w:w="126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692.209</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600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Naknada društvu za upravljanje</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213</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442.824</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598.901</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601</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Troškovi kupovine i prodaje ulaganja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214</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2.865</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3.712</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602</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Rashodi po osnovu kamata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215</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603</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Naknada članovima Nadzornog odbora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216</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31.841</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31.841</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605</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5. Naknada banci depozitaru</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217</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26.092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33.338</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607</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6. Rashodi po osnovu poreza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218</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604,606, 609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7. Ostali poslovni rashodi fonda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219</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23.969</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24.417</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IV - Realizovani gubitak (221 do 224)</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1.565.337</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8.506.354</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610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Realizovani gubici na prodaji hartija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221</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1.565.337</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8.506.354</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611</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xml:space="preserve">2. Realizovani gubitak po osnovu kursnih razlika </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612</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Realizovani gubici po osnovu prodaje nekretnina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223</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619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Ostali realizovani gubici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224</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 REALIZOVANI DOBITAK I GUBITAK</w:t>
            </w:r>
            <w:r w:rsidRPr="00036A76">
              <w:rPr>
                <w:rFonts w:eastAsia="Times New Roman"/>
                <w:sz w:val="18"/>
                <w:szCs w:val="18"/>
              </w:rPr>
              <w:t xml:space="preserve">                                                                        1. Realizovani dobitak (202+207-212-220)</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225</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Realizovani gubitak (212+220-202-207)</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226</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595.302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8.223.399</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VI- Finansijski prihodi (228+229)</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227</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730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Prihodi od kamata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731</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Ostali finansijski prihodi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229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VII- Finansijski rashodi (231+232)</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630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Rashodi po osnovu kamata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231</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631</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Ostali finansijski rashodi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xml:space="preserve">B. REALIZOVANI DOBITAK I GUBITAK PRIJE OPOREZIVANJA                                                                      </w:t>
            </w:r>
            <w:r w:rsidRPr="00036A76">
              <w:rPr>
                <w:rFonts w:eastAsia="Times New Roman"/>
                <w:sz w:val="18"/>
                <w:szCs w:val="18"/>
              </w:rPr>
              <w:t>1. Realizovani dobitak prije oporezivanja (225+227-230)</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233</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Realizovani gubitak prije oporezivanja (226+230-227)</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234</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595.302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8.223.381</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 TEKUĆI I ODLOŽENI POREZ NA DOBIT</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235</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821</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Poreski rashod perioda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236</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Odloženi poreski rashod perioda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237</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Odloženi poreski prihod perioda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xml:space="preserve">G. REALIZOVANI DOBITAK I GUBITAK POSLIJE OPOREZIVANJA                       </w:t>
            </w:r>
            <w:r w:rsidRPr="00036A76">
              <w:rPr>
                <w:rFonts w:eastAsia="Times New Roman"/>
                <w:sz w:val="18"/>
                <w:szCs w:val="18"/>
              </w:rPr>
              <w:t xml:space="preserve">                                                   1. Realizovani dobitak poslije oporezivanja (233-234-236-237+238)</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239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Realizovani gubitak poslije oporezivanja (234-233+236+237-238)</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595.302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8.223.381</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D. NEREALIZOVANI DOBICI I GUBICI                                                         I-Nerealizovani dobici (242 do 247)</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241</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2.627.433</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4.553.424</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720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Nerealizovani dobici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2.627.433</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4.553.424</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721</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Nerealizovani dobici po osnovu kursnih razlika na monetarnim sredstvima, osim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243</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722</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Nerealizovani dobici po osnovu kursnih razlika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244</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723</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Nerealizovani dobici po osnovu derivatnih instrumenata zaštite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245</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724</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5. Nerealizovani dobici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246</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729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6. Ostali nerealizovani dobici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247</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 Nerealizovani gubici (249do 254)</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3.807.605</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5.017.537</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620</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Nerealizovani gubici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249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3.807.605</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5.017.537</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621</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Nerealizovani gubici po osnovu kursnih razlika na monetarnim sredstvima, osim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622</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Nerealizovani gubcii po osnovu kursnih razlika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251</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lastRenderedPageBreak/>
              <w:t>623</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Nerealizovani gubici po osnovu derivatnih instrumenata zaštite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624</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5. Nerealizovani gubici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253</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629</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6. Ostali nerealizovani gubici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254</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Đ. UKUPNI NEREALIZOVANI DOBICI (GUBICI) FONDA</w:t>
            </w:r>
            <w:r w:rsidRPr="00036A76">
              <w:rPr>
                <w:rFonts w:eastAsia="Times New Roman"/>
                <w:sz w:val="18"/>
                <w:szCs w:val="18"/>
              </w:rPr>
              <w:t xml:space="preserve">                                                                                                                 1. Ukupni nerealizovani dobitak (241-248)</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255</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Ukupni nerealizovani gubitak (248-241)</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256</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1.180.172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464.113</w:t>
            </w:r>
          </w:p>
        </w:tc>
      </w:tr>
      <w:tr w:rsidR="000D7153" w:rsidRPr="00036A76" w:rsidTr="000D7153">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xml:space="preserve">E. POVEĆANJE (SMANJENJE) NETO IMOVINE OD POSLOVANJA FONDA                                                                                                                              </w:t>
            </w:r>
            <w:r w:rsidRPr="00036A76">
              <w:rPr>
                <w:rFonts w:eastAsia="Times New Roman"/>
                <w:sz w:val="18"/>
                <w:szCs w:val="18"/>
              </w:rPr>
              <w:t>1. Povećanje neto imovine fonda (239-240+255-256)</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257</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Smanjenje neto imovine fonda (240-239+256-255)</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1.775.474</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8.687.494</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Obična zarada po akciji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259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Razrijeđena zarada po akciji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260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bl>
    <w:p w:rsidR="000D7153" w:rsidRPr="00036A76" w:rsidRDefault="000D7153" w:rsidP="000D7153">
      <w:pPr>
        <w:ind w:left="0"/>
        <w:contextualSpacing/>
        <w:jc w:val="left"/>
        <w:rPr>
          <w:color w:val="FF0000"/>
        </w:rPr>
      </w:pPr>
    </w:p>
    <w:p w:rsidR="00D05C12" w:rsidRPr="00036A76" w:rsidRDefault="00D05C12" w:rsidP="00D05C12">
      <w:pPr>
        <w:ind w:left="0"/>
        <w:contextualSpacing/>
        <w:jc w:val="left"/>
      </w:pPr>
      <w:r w:rsidRPr="00036A76">
        <w:t>Bilans tokova gotovine</w:t>
      </w:r>
      <w:r w:rsidR="000D7153" w:rsidRPr="00036A76">
        <w:t xml:space="preserve"> – izvještaj o tokovima gotovine </w:t>
      </w:r>
    </w:p>
    <w:p w:rsidR="000D7153" w:rsidRPr="00036A76" w:rsidRDefault="000D7153" w:rsidP="00D05C12">
      <w:pPr>
        <w:ind w:left="0"/>
        <w:contextualSpacing/>
        <w:jc w:val="left"/>
      </w:pPr>
      <w:r w:rsidRPr="00036A76">
        <w:t>za period od 01.01.2015. godine do 31.12.2015. godine</w:t>
      </w:r>
    </w:p>
    <w:tbl>
      <w:tblPr>
        <w:tblW w:w="8180" w:type="dxa"/>
        <w:tblInd w:w="93" w:type="dxa"/>
        <w:tblLook w:val="04A0"/>
      </w:tblPr>
      <w:tblGrid>
        <w:gridCol w:w="4600"/>
        <w:gridCol w:w="760"/>
        <w:gridCol w:w="940"/>
        <w:gridCol w:w="1026"/>
        <w:gridCol w:w="960"/>
      </w:tblGrid>
      <w:tr w:rsidR="000D7153" w:rsidRPr="00036A76" w:rsidTr="000D7153">
        <w:trPr>
          <w:trHeight w:val="255"/>
        </w:trPr>
        <w:tc>
          <w:tcPr>
            <w:tcW w:w="46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Opis</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AOP</w:t>
            </w:r>
          </w:p>
        </w:tc>
        <w:tc>
          <w:tcPr>
            <w:tcW w:w="1860" w:type="dxa"/>
            <w:gridSpan w:val="2"/>
            <w:tcBorders>
              <w:top w:val="single" w:sz="4" w:space="0" w:color="auto"/>
              <w:left w:val="nil"/>
              <w:bottom w:val="single" w:sz="4" w:space="0" w:color="auto"/>
              <w:right w:val="single" w:sz="4" w:space="0" w:color="000000"/>
            </w:tcBorders>
            <w:shd w:val="clear" w:color="000000" w:fill="C0C0C0"/>
            <w:noWrap/>
            <w:vAlign w:val="bottom"/>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Iznos</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Indeks</w:t>
            </w:r>
          </w:p>
        </w:tc>
      </w:tr>
      <w:tr w:rsidR="000D7153" w:rsidRPr="00036A76" w:rsidTr="000D7153">
        <w:trPr>
          <w:trHeight w:val="45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0D7153" w:rsidRPr="00036A76" w:rsidRDefault="000D7153" w:rsidP="000D7153">
            <w:pPr>
              <w:ind w:left="0" w:firstLine="0"/>
              <w:jc w:val="left"/>
              <w:rPr>
                <w:rFonts w:eastAsia="Times New Roman"/>
                <w:b/>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0D7153" w:rsidRPr="00036A76" w:rsidRDefault="000D7153" w:rsidP="000D7153">
            <w:pPr>
              <w:ind w:left="0" w:firstLine="0"/>
              <w:jc w:val="left"/>
              <w:rPr>
                <w:rFonts w:eastAsia="Times New Roman"/>
                <w:b/>
                <w:bCs/>
                <w:sz w:val="18"/>
                <w:szCs w:val="18"/>
              </w:rPr>
            </w:pPr>
          </w:p>
        </w:tc>
        <w:tc>
          <w:tcPr>
            <w:tcW w:w="940" w:type="dxa"/>
            <w:tcBorders>
              <w:top w:val="nil"/>
              <w:left w:val="nil"/>
              <w:bottom w:val="single" w:sz="4" w:space="0" w:color="auto"/>
              <w:right w:val="single" w:sz="4" w:space="0" w:color="auto"/>
            </w:tcBorders>
            <w:shd w:val="clear" w:color="000000" w:fill="C0C0C0"/>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Tekuća godina</w:t>
            </w:r>
          </w:p>
        </w:tc>
        <w:tc>
          <w:tcPr>
            <w:tcW w:w="920" w:type="dxa"/>
            <w:tcBorders>
              <w:top w:val="nil"/>
              <w:left w:val="nil"/>
              <w:bottom w:val="single" w:sz="4" w:space="0" w:color="auto"/>
              <w:right w:val="single" w:sz="4" w:space="0" w:color="auto"/>
            </w:tcBorders>
            <w:shd w:val="clear" w:color="000000" w:fill="C0C0C0"/>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Prethodna godina</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D7153" w:rsidRPr="00036A76" w:rsidRDefault="000D7153" w:rsidP="000D7153">
            <w:pPr>
              <w:ind w:left="0" w:firstLine="0"/>
              <w:jc w:val="left"/>
              <w:rPr>
                <w:rFonts w:eastAsia="Times New Roman"/>
                <w:b/>
                <w:bCs/>
                <w:sz w:val="18"/>
                <w:szCs w:val="18"/>
              </w:rPr>
            </w:pP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9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w:t>
            </w:r>
          </w:p>
        </w:tc>
      </w:tr>
      <w:tr w:rsidR="000D7153" w:rsidRPr="00036A76" w:rsidTr="000D7153">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A. Novčani tokovi iz poslovnih aktivnosti</w:t>
            </w:r>
            <w:r w:rsidRPr="00036A76">
              <w:rPr>
                <w:rFonts w:eastAsia="Times New Roman"/>
                <w:sz w:val="18"/>
                <w:szCs w:val="18"/>
              </w:rPr>
              <w:t xml:space="preserve">                                      I- Prilivi gotovine iz poslovnih aktivnosti (402 do 406)</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401</w:t>
            </w:r>
          </w:p>
        </w:tc>
        <w:tc>
          <w:tcPr>
            <w:tcW w:w="9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1.906.914</w:t>
            </w:r>
          </w:p>
        </w:tc>
        <w:tc>
          <w:tcPr>
            <w:tcW w:w="92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1.319.197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1,45</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Prilivi po osnovu prodaje ulaganja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402</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189.651</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190.130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1,00</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xml:space="preserve">2. Prilivi po osnovu dividende </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403</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1.170.213</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724.328</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9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Prilivi po osnovu kamata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404</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281.202</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224.692</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1,25</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Prilivi po osnovu refundiranja rashoda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405</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5. Ostali prilivi od operativnih aktivnosti</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406</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265.848</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180.047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6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 Odlivi gotovine iz operativnih aktivnosti (408 do 418)</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407</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1.726.536</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1.860.324</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0,93</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Odlivi po osnovu kupovine ulaganja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408</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Odlivi po osnovu ulaganja u HOV</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409</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1.119.410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1.268.365</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0,88</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3. Odlivi po osnovu ostalih ulaganja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410</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Odlivi po osnovu naknada društvu za upravljanje</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411</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520.238</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496.000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1,05</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5. Odlivi po osnovu rashoda za kamate</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412</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6. Odlivi po osnovu troškova kupovine i prodaje HOV</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413</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2.834</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4.196</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0,68</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7. Odlivi po osnovu naknade eksternom revizoru</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414</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1.755</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8. Odlivi po osnovu troškova banke depozitara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415</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27.842</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33.555</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0,83</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9. Odlivi po osnovu ostalih rashoda iz operativne aktivnosti</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416</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54.457</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58.208</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0,94</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10. Odlivi po osnovu poreza na dobit</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417</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11. Odlivi po osnovu ostalih rashoda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418</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III Neto priliv gotovine iz poslovnih aktivnosti (401-407)</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419</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180.378</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0,00</w:t>
            </w:r>
          </w:p>
        </w:tc>
      </w:tr>
      <w:tr w:rsidR="000D7153" w:rsidRPr="00036A76" w:rsidTr="000D7153">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IV Neto odliv gotovine iz poslovnih aktivnosti (407-401)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420</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541.127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0,00</w:t>
            </w:r>
          </w:p>
        </w:tc>
      </w:tr>
      <w:tr w:rsidR="000D7153" w:rsidRPr="00036A76" w:rsidTr="000D7153">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B. Tokovi gotovine iz aktivnosti finansiranja                       I Prilivi gotovine iz aktivnosti finansiranja (422+423)</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421</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Priliv od izdavanja udjela/emisije akcija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422</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Prilivi od zaduživanja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423</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II Odlivi gotovine iz aktivnosti finansiranja (425 do 428)</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424</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1. Odlivi po osnovu razduživanja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425</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2. Odlivi po osnovu otkupa sopstvenih akcija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426</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lastRenderedPageBreak/>
              <w:t>3. Odlivi po osnovu isplate dividendi</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427</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4. Odlivi po osnovu isplate učešća u dobiti</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428</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III Neto priliv gotovine iz aktivnosti finansiranja (421-424)</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429</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IV Neto odliv gotovine iz aktivnosti finansiranja (424-421)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430</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 Ukupni prilivi gotovine (401+421)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431</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1.906.914</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1.319.197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1,45</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G. Ukupni odlivi gotovine (407+424)</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432</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1.726.536</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1.860.324</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0,93</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D. Neto  priliv gotovine (431-432)</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433</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180.378</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0,00</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Đ. Neto odliv gotovine (432-431)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434</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541.127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E. Gotovina na početku perioda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435</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329.776</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b/>
                <w:bCs/>
                <w:sz w:val="18"/>
                <w:szCs w:val="18"/>
              </w:rPr>
            </w:pPr>
            <w:r w:rsidRPr="00036A76">
              <w:rPr>
                <w:rFonts w:eastAsia="Times New Roman"/>
                <w:b/>
                <w:bCs/>
                <w:sz w:val="18"/>
                <w:szCs w:val="18"/>
              </w:rPr>
              <w:t>870.903</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0,38</w:t>
            </w:r>
          </w:p>
        </w:tc>
      </w:tr>
      <w:tr w:rsidR="000D7153" w:rsidRPr="00036A76" w:rsidTr="000D7153">
        <w:trPr>
          <w:trHeight w:val="450"/>
        </w:trPr>
        <w:tc>
          <w:tcPr>
            <w:tcW w:w="4600" w:type="dxa"/>
            <w:tcBorders>
              <w:top w:val="nil"/>
              <w:left w:val="single" w:sz="4" w:space="0" w:color="auto"/>
              <w:bottom w:val="nil"/>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Ž. Pozitivne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436</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Z. Negativne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437</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I. GOTOVINA NA KRAJU OBRAČUNSKOG PERIODA (435+433-434+436-437)</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438</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510.154</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329.776</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1,55</w:t>
            </w:r>
          </w:p>
        </w:tc>
      </w:tr>
    </w:tbl>
    <w:p w:rsidR="000D7153" w:rsidRPr="00036A76" w:rsidRDefault="000D7153" w:rsidP="000D7153">
      <w:pPr>
        <w:ind w:left="0" w:firstLine="0"/>
        <w:contextualSpacing/>
        <w:jc w:val="left"/>
        <w:rPr>
          <w:color w:val="FF0000"/>
          <w:sz w:val="18"/>
          <w:szCs w:val="18"/>
        </w:rPr>
      </w:pPr>
    </w:p>
    <w:p w:rsidR="00D05C12" w:rsidRPr="00036A76" w:rsidRDefault="00D05C12" w:rsidP="00D05C12">
      <w:pPr>
        <w:ind w:left="0"/>
        <w:contextualSpacing/>
        <w:jc w:val="left"/>
      </w:pPr>
      <w:r w:rsidRPr="00036A76">
        <w:t>Izvještaj o promjen</w:t>
      </w:r>
      <w:r w:rsidR="006F4237" w:rsidRPr="00036A76">
        <w:t>ama neto imovine investicionog F</w:t>
      </w:r>
      <w:r w:rsidRPr="00036A76">
        <w:t>onda</w:t>
      </w:r>
    </w:p>
    <w:p w:rsidR="000D7153" w:rsidRPr="00036A76" w:rsidRDefault="000D7153" w:rsidP="00D05C12">
      <w:pPr>
        <w:ind w:left="0"/>
        <w:contextualSpacing/>
        <w:jc w:val="left"/>
      </w:pPr>
      <w:r w:rsidRPr="00036A76">
        <w:t>za period od 01.01.2015. godine do 31.12.2015. godine</w:t>
      </w:r>
    </w:p>
    <w:tbl>
      <w:tblPr>
        <w:tblW w:w="9100" w:type="dxa"/>
        <w:tblInd w:w="93" w:type="dxa"/>
        <w:tblLook w:val="04A0"/>
      </w:tblPr>
      <w:tblGrid>
        <w:gridCol w:w="646"/>
        <w:gridCol w:w="5740"/>
        <w:gridCol w:w="577"/>
        <w:gridCol w:w="1140"/>
        <w:gridCol w:w="1140"/>
      </w:tblGrid>
      <w:tr w:rsidR="000D7153" w:rsidRPr="00036A76" w:rsidTr="000D7153">
        <w:trPr>
          <w:trHeight w:val="255"/>
        </w:trPr>
        <w:tc>
          <w:tcPr>
            <w:tcW w:w="54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574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54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(iznos u KM)</w:t>
            </w:r>
          </w:p>
        </w:tc>
      </w:tr>
      <w:tr w:rsidR="000D7153" w:rsidRPr="00036A76" w:rsidTr="000D7153">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Redni broj</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Pozicija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AOP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Prethodna godina</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Povećanje (smanjenje) neto imovine od poslovanja fonda (302 do 306)</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301</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-5.038.506</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-1.334.331</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Realizovani dobitak (gubitak) od ulaganja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-595.302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-8.223.381</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Ukupni narealizovani dobici (gubici) od ulaganja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-1.180.172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-463.055</w:t>
            </w:r>
          </w:p>
        </w:tc>
      </w:tr>
      <w:tr w:rsidR="000D7153" w:rsidRPr="00036A76" w:rsidTr="000D7153">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w:t>
            </w:r>
          </w:p>
        </w:tc>
        <w:tc>
          <w:tcPr>
            <w:tcW w:w="57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Revalorizacione rezerve po osnovu finansijskih ulaganja raspoloživih za prodaju</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304</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-3.263.032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7.352.105</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w:t>
            </w:r>
          </w:p>
        </w:tc>
        <w:tc>
          <w:tcPr>
            <w:tcW w:w="5740" w:type="dxa"/>
            <w:tcBorders>
              <w:top w:val="nil"/>
              <w:left w:val="nil"/>
              <w:bottom w:val="nil"/>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xml:space="preserve">Revalotizacione rezerve po osnovu </w:t>
            </w:r>
            <w:r w:rsidR="00BD62DE" w:rsidRPr="00036A76">
              <w:rPr>
                <w:rFonts w:eastAsia="Times New Roman"/>
                <w:sz w:val="18"/>
                <w:szCs w:val="18"/>
              </w:rPr>
              <w:t>derivate</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305</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Revalorizacione rezerve po osnovu nekretnina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7</w:t>
            </w:r>
          </w:p>
        </w:tc>
        <w:tc>
          <w:tcPr>
            <w:tcW w:w="5740" w:type="dxa"/>
            <w:tcBorders>
              <w:top w:val="nil"/>
              <w:left w:val="nil"/>
              <w:bottom w:val="nil"/>
              <w:right w:val="single" w:sz="4" w:space="0" w:color="auto"/>
            </w:tcBorders>
            <w:shd w:val="clear" w:color="auto" w:fill="auto"/>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Povećenje neto imovine po osnovu transakcija sa udjelima/akcijama fonda (308-309)</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Povećanje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308</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9</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Smanjenje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309</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10</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Ukupno povećanje (smanjenje) neto imovine fonda (301+308-309)</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-5.038.506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-1.334.331</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11</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Neto imovina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311</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12</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30.049.982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31.384.313</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13</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25.011.476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30.049.982</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14</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 xml:space="preserve">Broj udjela/akcija fonda u </w:t>
            </w:r>
            <w:r w:rsidR="00BD62DE" w:rsidRPr="00036A76">
              <w:rPr>
                <w:rFonts w:eastAsia="Times New Roman"/>
                <w:b/>
                <w:bCs/>
                <w:sz w:val="18"/>
                <w:szCs w:val="18"/>
              </w:rPr>
              <w:t>period</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314</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15</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Broj udjela/akcija 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315</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16</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Izdati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17</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Povučeni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18</w:t>
            </w:r>
          </w:p>
        </w:tc>
        <w:tc>
          <w:tcPr>
            <w:tcW w:w="574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Broj udjela/akcija 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318</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r>
    </w:tbl>
    <w:p w:rsidR="000D7153" w:rsidRPr="00036A76" w:rsidRDefault="000D7153" w:rsidP="00D05C12">
      <w:pPr>
        <w:ind w:left="0"/>
        <w:contextualSpacing/>
        <w:jc w:val="left"/>
        <w:rPr>
          <w:color w:val="FF0000"/>
        </w:rPr>
      </w:pPr>
    </w:p>
    <w:p w:rsidR="00D05C12" w:rsidRPr="00036A76" w:rsidRDefault="00D05C12" w:rsidP="00D05C12">
      <w:pPr>
        <w:ind w:left="0"/>
        <w:contextualSpacing/>
        <w:jc w:val="left"/>
      </w:pPr>
      <w:r w:rsidRPr="00036A76">
        <w:t>Izvješta</w:t>
      </w:r>
      <w:r w:rsidR="00044856" w:rsidRPr="00036A76">
        <w:t>j o finansijskim pokazateljima F</w:t>
      </w:r>
      <w:r w:rsidRPr="00036A76">
        <w:t>onda</w:t>
      </w:r>
    </w:p>
    <w:p w:rsidR="000D7153" w:rsidRPr="00036A76" w:rsidRDefault="000D7153" w:rsidP="00D05C12">
      <w:pPr>
        <w:ind w:left="0"/>
        <w:contextualSpacing/>
        <w:jc w:val="left"/>
      </w:pPr>
      <w:r w:rsidRPr="00036A76">
        <w:t>za period od 01.01.2015. godine do 31.12.2015. godine</w:t>
      </w:r>
    </w:p>
    <w:tbl>
      <w:tblPr>
        <w:tblW w:w="8940" w:type="dxa"/>
        <w:tblInd w:w="93" w:type="dxa"/>
        <w:tblLook w:val="04A0"/>
      </w:tblPr>
      <w:tblGrid>
        <w:gridCol w:w="646"/>
        <w:gridCol w:w="5580"/>
        <w:gridCol w:w="640"/>
        <w:gridCol w:w="1116"/>
        <w:gridCol w:w="1140"/>
      </w:tblGrid>
      <w:tr w:rsidR="000D7153" w:rsidRPr="00036A76" w:rsidTr="000D7153">
        <w:trPr>
          <w:trHeight w:val="255"/>
        </w:trPr>
        <w:tc>
          <w:tcPr>
            <w:tcW w:w="56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558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64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102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(iznos u KM)</w:t>
            </w:r>
          </w:p>
        </w:tc>
      </w:tr>
      <w:tr w:rsidR="000D7153" w:rsidRPr="00036A76" w:rsidTr="000D7153">
        <w:trPr>
          <w:trHeight w:val="4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Redni broj</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Pozicija imovine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AOP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Prethodna godina</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102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6</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lastRenderedPageBreak/>
              <w:t>I</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Vrijednost neto imovine po udjelu/akciji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501</w:t>
            </w:r>
          </w:p>
        </w:tc>
        <w:tc>
          <w:tcPr>
            <w:tcW w:w="102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0,16</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0,19</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Neto imovina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502</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30.049.982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31.384.313</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Broj udjela/akcija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503</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r>
      <w:tr w:rsidR="000D7153" w:rsidRPr="00036A76" w:rsidTr="000D7153">
        <w:trPr>
          <w:trHeight w:val="3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Vrijednost udjela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504</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0,16053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0,16766</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II</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Vrijednost neto imovine fonda po udjelu/akciji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505</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0,16</w:t>
            </w:r>
          </w:p>
        </w:tc>
      </w:tr>
      <w:tr w:rsidR="000D7153" w:rsidRPr="00036A76" w:rsidTr="000D715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Neto imovina fonda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506</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25.011.476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30.049.982</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5580" w:type="dxa"/>
            <w:tcBorders>
              <w:top w:val="nil"/>
              <w:left w:val="nil"/>
              <w:bottom w:val="nil"/>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Broj udjela/akcija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507</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187.191.287</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Vrijednost udjela/akcije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508</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0,16</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b/>
                <w:bCs/>
                <w:sz w:val="18"/>
                <w:szCs w:val="18"/>
              </w:rPr>
            </w:pPr>
            <w:r w:rsidRPr="00036A76">
              <w:rPr>
                <w:rFonts w:eastAsia="Times New Roman"/>
                <w:b/>
                <w:bCs/>
                <w:sz w:val="18"/>
                <w:szCs w:val="18"/>
              </w:rPr>
              <w:t>III</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b/>
                <w:bCs/>
                <w:sz w:val="18"/>
                <w:szCs w:val="18"/>
              </w:rPr>
            </w:pPr>
            <w:r w:rsidRPr="00036A76">
              <w:rPr>
                <w:rFonts w:eastAsia="Times New Roman"/>
                <w:b/>
                <w:bCs/>
                <w:sz w:val="18"/>
                <w:szCs w:val="18"/>
              </w:rPr>
              <w:t>Finansijski pokazatelji</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509</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 </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Odnos rashoda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510</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0,02</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Odnos realizovane dobiti od ulaganja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511</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0,00</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Isplaćeni iznos investitorima u toku godine</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512</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0,00</w:t>
            </w:r>
          </w:p>
        </w:tc>
      </w:tr>
      <w:tr w:rsidR="000D7153" w:rsidRPr="00036A76"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4</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left"/>
              <w:rPr>
                <w:rFonts w:eastAsia="Times New Roman"/>
                <w:sz w:val="18"/>
                <w:szCs w:val="18"/>
              </w:rPr>
            </w:pPr>
            <w:r w:rsidRPr="00036A76">
              <w:rPr>
                <w:rFonts w:eastAsia="Times New Roman"/>
                <w:sz w:val="18"/>
                <w:szCs w:val="18"/>
              </w:rPr>
              <w:t>Stopa prinosa na neto imovinu fonda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036A76" w:rsidRDefault="000D7153" w:rsidP="000D7153">
            <w:pPr>
              <w:ind w:left="0" w:firstLine="0"/>
              <w:jc w:val="center"/>
              <w:rPr>
                <w:rFonts w:eastAsia="Times New Roman"/>
                <w:sz w:val="18"/>
                <w:szCs w:val="18"/>
              </w:rPr>
            </w:pPr>
            <w:r w:rsidRPr="00036A76">
              <w:rPr>
                <w:rFonts w:eastAsia="Times New Roman"/>
                <w:sz w:val="18"/>
                <w:szCs w:val="18"/>
              </w:rPr>
              <w:t>513</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036A76" w:rsidRDefault="000D7153" w:rsidP="000D7153">
            <w:pPr>
              <w:ind w:left="0" w:firstLine="0"/>
              <w:jc w:val="right"/>
              <w:rPr>
                <w:rFonts w:eastAsia="Times New Roman"/>
                <w:sz w:val="18"/>
                <w:szCs w:val="18"/>
              </w:rPr>
            </w:pPr>
            <w:r w:rsidRPr="00036A76">
              <w:rPr>
                <w:rFonts w:eastAsia="Times New Roman"/>
                <w:sz w:val="18"/>
                <w:szCs w:val="18"/>
              </w:rPr>
              <w:t>0,00</w:t>
            </w:r>
          </w:p>
        </w:tc>
      </w:tr>
    </w:tbl>
    <w:p w:rsidR="000D7153" w:rsidRPr="00036A76" w:rsidRDefault="000D7153" w:rsidP="00D05C12">
      <w:pPr>
        <w:ind w:left="0"/>
        <w:contextualSpacing/>
        <w:jc w:val="left"/>
        <w:rPr>
          <w:color w:val="FF0000"/>
        </w:rPr>
      </w:pPr>
    </w:p>
    <w:p w:rsidR="00D05C12" w:rsidRPr="00036A76" w:rsidRDefault="00D05C12" w:rsidP="00D05C12">
      <w:pPr>
        <w:ind w:left="0"/>
        <w:contextualSpacing/>
        <w:jc w:val="left"/>
      </w:pPr>
      <w:r w:rsidRPr="00036A76">
        <w:t xml:space="preserve">Izvještaj o strukturi ulaganja investicionog </w:t>
      </w:r>
      <w:r w:rsidR="00044856" w:rsidRPr="00036A76">
        <w:t>F</w:t>
      </w:r>
      <w:r w:rsidRPr="00036A76">
        <w:t>onda po vrstama imovine</w:t>
      </w:r>
    </w:p>
    <w:p w:rsidR="00F226D1" w:rsidRPr="00036A76" w:rsidRDefault="004A401D" w:rsidP="00D05C12">
      <w:pPr>
        <w:ind w:left="0"/>
        <w:contextualSpacing/>
        <w:jc w:val="left"/>
      </w:pPr>
      <w:r w:rsidRPr="00036A76">
        <w:t>s</w:t>
      </w:r>
      <w:r w:rsidR="00F226D1" w:rsidRPr="00036A76">
        <w:t>a stanjem na dan 31.12.2015. godine</w:t>
      </w:r>
    </w:p>
    <w:tbl>
      <w:tblPr>
        <w:tblW w:w="6940" w:type="dxa"/>
        <w:tblInd w:w="93" w:type="dxa"/>
        <w:tblLook w:val="04A0"/>
      </w:tblPr>
      <w:tblGrid>
        <w:gridCol w:w="660"/>
        <w:gridCol w:w="2840"/>
        <w:gridCol w:w="1760"/>
        <w:gridCol w:w="1680"/>
      </w:tblGrid>
      <w:tr w:rsidR="00F226D1" w:rsidRPr="00036A76" w:rsidTr="00F226D1">
        <w:trPr>
          <w:trHeight w:val="73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Redni broj</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Opis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Ukupna vrijednost na dan izvještavanja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Učešće u vrijednosti imovine fonda (%)</w:t>
            </w:r>
          </w:p>
        </w:tc>
      </w:tr>
      <w:tr w:rsidR="00F226D1" w:rsidRPr="00036A76"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2</w:t>
            </w:r>
          </w:p>
        </w:tc>
        <w:tc>
          <w:tcPr>
            <w:tcW w:w="1760" w:type="dxa"/>
            <w:tcBorders>
              <w:top w:val="nil"/>
              <w:left w:val="nil"/>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3</w:t>
            </w:r>
          </w:p>
        </w:tc>
        <w:tc>
          <w:tcPr>
            <w:tcW w:w="1680" w:type="dxa"/>
            <w:tcBorders>
              <w:top w:val="nil"/>
              <w:left w:val="nil"/>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4</w:t>
            </w:r>
          </w:p>
        </w:tc>
      </w:tr>
      <w:tr w:rsidR="00F226D1" w:rsidRPr="00036A76"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left"/>
              <w:rPr>
                <w:rFonts w:eastAsia="Times New Roman"/>
                <w:sz w:val="18"/>
                <w:szCs w:val="18"/>
              </w:rPr>
            </w:pPr>
            <w:r w:rsidRPr="00036A76">
              <w:rPr>
                <w:rFonts w:eastAsia="Times New Roman"/>
                <w:sz w:val="18"/>
                <w:szCs w:val="18"/>
              </w:rPr>
              <w:t>Akcije</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20.777.178,77</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77,0746</w:t>
            </w:r>
          </w:p>
        </w:tc>
      </w:tr>
      <w:tr w:rsidR="00F226D1" w:rsidRPr="00036A76"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2</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left"/>
              <w:rPr>
                <w:rFonts w:eastAsia="Times New Roman"/>
                <w:sz w:val="18"/>
                <w:szCs w:val="18"/>
              </w:rPr>
            </w:pPr>
            <w:r w:rsidRPr="00036A76">
              <w:rPr>
                <w:rFonts w:eastAsia="Times New Roman"/>
                <w:sz w:val="18"/>
                <w:szCs w:val="18"/>
              </w:rPr>
              <w:t>Obveznice</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4.703.108,87</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17,4465</w:t>
            </w:r>
          </w:p>
        </w:tc>
      </w:tr>
      <w:tr w:rsidR="00F226D1" w:rsidRPr="00036A76"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3</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left"/>
              <w:rPr>
                <w:rFonts w:eastAsia="Times New Roman"/>
                <w:sz w:val="18"/>
                <w:szCs w:val="18"/>
              </w:rPr>
            </w:pPr>
            <w:r w:rsidRPr="00036A76">
              <w:rPr>
                <w:rFonts w:eastAsia="Times New Roman"/>
                <w:sz w:val="18"/>
                <w:szCs w:val="18"/>
              </w:rPr>
              <w:t>Ostale hartije od vrijednosti</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954.324,10</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3,5401</w:t>
            </w:r>
          </w:p>
        </w:tc>
      </w:tr>
      <w:tr w:rsidR="00F226D1" w:rsidRPr="00036A76"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4</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left"/>
              <w:rPr>
                <w:rFonts w:eastAsia="Times New Roman"/>
                <w:sz w:val="18"/>
                <w:szCs w:val="18"/>
              </w:rPr>
            </w:pPr>
            <w:r w:rsidRPr="00036A76">
              <w:rPr>
                <w:rFonts w:eastAsia="Times New Roman"/>
                <w:sz w:val="18"/>
                <w:szCs w:val="18"/>
              </w:rPr>
              <w:t>Depoziti i plasmani</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0,00</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0,0000</w:t>
            </w:r>
          </w:p>
        </w:tc>
      </w:tr>
      <w:tr w:rsidR="00F226D1" w:rsidRPr="00036A76"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5</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left"/>
              <w:rPr>
                <w:rFonts w:eastAsia="Times New Roman"/>
                <w:sz w:val="18"/>
                <w:szCs w:val="18"/>
              </w:rPr>
            </w:pPr>
            <w:r w:rsidRPr="00036A76">
              <w:rPr>
                <w:rFonts w:eastAsia="Times New Roman"/>
                <w:sz w:val="18"/>
                <w:szCs w:val="18"/>
              </w:rPr>
              <w:t>Gotovina i gotovinski ekvivalenti</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510.153,54</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1,8925</w:t>
            </w:r>
          </w:p>
        </w:tc>
      </w:tr>
      <w:tr w:rsidR="00F226D1" w:rsidRPr="00036A76"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036A76" w:rsidRDefault="00F226D1" w:rsidP="00F226D1">
            <w:pPr>
              <w:ind w:left="0" w:firstLine="0"/>
              <w:jc w:val="center"/>
              <w:rPr>
                <w:rFonts w:eastAsia="Times New Roman"/>
                <w:sz w:val="18"/>
                <w:szCs w:val="18"/>
              </w:rPr>
            </w:pPr>
            <w:r w:rsidRPr="00036A76">
              <w:rPr>
                <w:rFonts w:eastAsia="Times New Roman"/>
                <w:sz w:val="18"/>
                <w:szCs w:val="18"/>
              </w:rPr>
              <w:t>6</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left"/>
              <w:rPr>
                <w:rFonts w:eastAsia="Times New Roman"/>
                <w:sz w:val="18"/>
                <w:szCs w:val="18"/>
              </w:rPr>
            </w:pPr>
            <w:r w:rsidRPr="00036A76">
              <w:rPr>
                <w:rFonts w:eastAsia="Times New Roman"/>
                <w:sz w:val="18"/>
                <w:szCs w:val="18"/>
              </w:rPr>
              <w:t>Nekretnine</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0,00</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0,0000</w:t>
            </w:r>
          </w:p>
        </w:tc>
      </w:tr>
      <w:tr w:rsidR="00F226D1" w:rsidRPr="00036A76"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left"/>
              <w:rPr>
                <w:rFonts w:eastAsia="Times New Roman"/>
                <w:sz w:val="18"/>
                <w:szCs w:val="18"/>
              </w:rPr>
            </w:pPr>
            <w:r w:rsidRPr="00036A76">
              <w:rPr>
                <w:rFonts w:eastAsia="Times New Roman"/>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left"/>
              <w:rPr>
                <w:rFonts w:eastAsia="Times New Roman"/>
                <w:sz w:val="18"/>
                <w:szCs w:val="18"/>
              </w:rPr>
            </w:pPr>
            <w:r w:rsidRPr="00036A76">
              <w:rPr>
                <w:rFonts w:eastAsia="Times New Roman"/>
                <w:sz w:val="18"/>
                <w:szCs w:val="18"/>
              </w:rPr>
              <w:t>Ukupno</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26.944.765,28</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036A76" w:rsidRDefault="00F226D1" w:rsidP="00F226D1">
            <w:pPr>
              <w:ind w:left="0" w:firstLine="0"/>
              <w:jc w:val="right"/>
              <w:rPr>
                <w:rFonts w:eastAsia="Times New Roman"/>
                <w:sz w:val="18"/>
                <w:szCs w:val="18"/>
              </w:rPr>
            </w:pPr>
            <w:r w:rsidRPr="00036A76">
              <w:rPr>
                <w:rFonts w:eastAsia="Times New Roman"/>
                <w:sz w:val="18"/>
                <w:szCs w:val="18"/>
              </w:rPr>
              <w:t>99,9537</w:t>
            </w:r>
          </w:p>
        </w:tc>
      </w:tr>
    </w:tbl>
    <w:p w:rsidR="00B5457E" w:rsidRPr="00036A76" w:rsidRDefault="00B5457E" w:rsidP="00D05C12">
      <w:pPr>
        <w:ind w:left="0"/>
        <w:contextualSpacing/>
        <w:jc w:val="left"/>
      </w:pPr>
    </w:p>
    <w:p w:rsidR="00D05C12" w:rsidRPr="00036A76" w:rsidRDefault="00D05C12" w:rsidP="00D05C12">
      <w:pPr>
        <w:ind w:left="0"/>
        <w:contextualSpacing/>
        <w:jc w:val="left"/>
      </w:pPr>
      <w:r w:rsidRPr="00036A76">
        <w:t>mišljenja revizora za 201</w:t>
      </w:r>
      <w:r w:rsidR="00450CD1" w:rsidRPr="00036A76">
        <w:t>5</w:t>
      </w:r>
      <w:r w:rsidRPr="00036A76">
        <w:t xml:space="preserve">. </w:t>
      </w:r>
      <w:r w:rsidR="00F226D1" w:rsidRPr="00036A76">
        <w:t>g</w:t>
      </w:r>
      <w:r w:rsidRPr="00036A76">
        <w:t>odinu</w:t>
      </w:r>
    </w:p>
    <w:p w:rsidR="00AC799B" w:rsidRPr="00036A76" w:rsidRDefault="00AC799B" w:rsidP="00F226D1">
      <w:pPr>
        <w:pStyle w:val="BodyText"/>
        <w:jc w:val="center"/>
        <w:rPr>
          <w:b/>
          <w:bCs/>
          <w:i/>
          <w:iCs/>
          <w:szCs w:val="24"/>
          <w:lang w:val="sr-Latn-BA"/>
        </w:rPr>
      </w:pPr>
    </w:p>
    <w:p w:rsidR="00F226D1" w:rsidRPr="00036A76" w:rsidRDefault="00F226D1" w:rsidP="00F226D1">
      <w:pPr>
        <w:pStyle w:val="BodyText"/>
        <w:jc w:val="center"/>
        <w:rPr>
          <w:b/>
          <w:bCs/>
          <w:i/>
          <w:iCs/>
          <w:szCs w:val="24"/>
        </w:rPr>
      </w:pPr>
      <w:r w:rsidRPr="00036A76">
        <w:rPr>
          <w:b/>
          <w:bCs/>
          <w:i/>
          <w:iCs/>
          <w:szCs w:val="24"/>
        </w:rPr>
        <w:t>M I Š L J E N J E</w:t>
      </w:r>
    </w:p>
    <w:p w:rsidR="00F226D1" w:rsidRPr="00036A76" w:rsidRDefault="00F226D1" w:rsidP="00F226D1">
      <w:pPr>
        <w:pStyle w:val="BodyText"/>
        <w:jc w:val="center"/>
        <w:rPr>
          <w:b/>
          <w:bCs/>
          <w:i/>
          <w:iCs/>
          <w:szCs w:val="24"/>
        </w:rPr>
      </w:pPr>
      <w:r w:rsidRPr="00036A76">
        <w:rPr>
          <w:b/>
          <w:bCs/>
          <w:i/>
          <w:iCs/>
          <w:szCs w:val="24"/>
        </w:rPr>
        <w:t>ovlaštenog revizora</w:t>
      </w:r>
    </w:p>
    <w:p w:rsidR="00F226D1" w:rsidRPr="00036A76" w:rsidRDefault="00F226D1" w:rsidP="00F226D1">
      <w:pPr>
        <w:pStyle w:val="BodyText"/>
        <w:jc w:val="center"/>
        <w:rPr>
          <w:b/>
          <w:bCs/>
          <w:i/>
          <w:iCs/>
          <w:szCs w:val="24"/>
        </w:rPr>
      </w:pPr>
      <w:r w:rsidRPr="00036A76">
        <w:rPr>
          <w:b/>
          <w:bCs/>
          <w:i/>
          <w:iCs/>
          <w:szCs w:val="24"/>
        </w:rPr>
        <w:t>o izvršenoj reviziji finansijskih izvještaja Fonda</w:t>
      </w:r>
    </w:p>
    <w:p w:rsidR="004A401D" w:rsidRPr="00036A76" w:rsidRDefault="00F226D1" w:rsidP="00B5457E">
      <w:pPr>
        <w:pStyle w:val="BodyText"/>
        <w:jc w:val="center"/>
        <w:rPr>
          <w:b/>
          <w:bCs/>
          <w:i/>
          <w:iCs/>
          <w:szCs w:val="24"/>
          <w:lang w:val="sr-Latn-BA"/>
        </w:rPr>
      </w:pPr>
      <w:r w:rsidRPr="00036A76">
        <w:rPr>
          <w:b/>
          <w:bCs/>
          <w:i/>
          <w:iCs/>
          <w:szCs w:val="24"/>
        </w:rPr>
        <w:t xml:space="preserve"> za 2015. </w:t>
      </w:r>
      <w:r w:rsidR="004A401D" w:rsidRPr="00036A76">
        <w:rPr>
          <w:b/>
          <w:bCs/>
          <w:i/>
          <w:iCs/>
          <w:szCs w:val="24"/>
          <w:lang w:val="sr-Latn-BA"/>
        </w:rPr>
        <w:t>g</w:t>
      </w:r>
      <w:r w:rsidRPr="00036A76">
        <w:rPr>
          <w:b/>
          <w:bCs/>
          <w:i/>
          <w:iCs/>
          <w:szCs w:val="24"/>
        </w:rPr>
        <w:t>odinu</w:t>
      </w:r>
    </w:p>
    <w:p w:rsidR="00F226D1" w:rsidRPr="00036A76" w:rsidRDefault="00F226D1" w:rsidP="00F226D1">
      <w:pPr>
        <w:pStyle w:val="BodyText"/>
        <w:rPr>
          <w:szCs w:val="24"/>
          <w:lang w:val="hr-HR"/>
        </w:rPr>
      </w:pPr>
      <w:r w:rsidRPr="00036A76">
        <w:rPr>
          <w:b/>
          <w:bCs/>
          <w:szCs w:val="24"/>
        </w:rPr>
        <w:t>1.</w:t>
      </w:r>
      <w:r w:rsidRPr="00036A76">
        <w:rPr>
          <w:szCs w:val="24"/>
        </w:rPr>
        <w:t xml:space="preserve"> Revizija finansijskih izvještaja </w:t>
      </w:r>
      <w:r w:rsidRPr="00036A76">
        <w:rPr>
          <w:b/>
          <w:bCs/>
          <w:i/>
          <w:iCs/>
          <w:szCs w:val="24"/>
        </w:rPr>
        <w:t xml:space="preserve">Zatvorenog investicionog fonda sa javnom ponudom "INVEST NOVA FOND" AD Bijeljina </w:t>
      </w:r>
      <w:r w:rsidRPr="00036A76">
        <w:rPr>
          <w:b/>
          <w:bCs/>
          <w:szCs w:val="24"/>
        </w:rPr>
        <w:t xml:space="preserve"> </w:t>
      </w:r>
      <w:r w:rsidRPr="00036A76">
        <w:rPr>
          <w:szCs w:val="24"/>
        </w:rPr>
        <w:t xml:space="preserve">za </w:t>
      </w:r>
      <w:r w:rsidRPr="00036A76">
        <w:rPr>
          <w:b/>
          <w:i/>
          <w:szCs w:val="24"/>
        </w:rPr>
        <w:t>2015.</w:t>
      </w:r>
      <w:r w:rsidRPr="00036A76">
        <w:rPr>
          <w:szCs w:val="24"/>
        </w:rPr>
        <w:t xml:space="preserve"> godinu obuhvatila je reviziju  </w:t>
      </w:r>
      <w:r w:rsidRPr="00036A76">
        <w:rPr>
          <w:i/>
          <w:iCs/>
          <w:szCs w:val="24"/>
        </w:rPr>
        <w:t>Bilansa uspjeha</w:t>
      </w:r>
      <w:r w:rsidRPr="00036A76">
        <w:rPr>
          <w:szCs w:val="24"/>
        </w:rPr>
        <w:t xml:space="preserve"> </w:t>
      </w:r>
      <w:r w:rsidRPr="00036A76">
        <w:rPr>
          <w:i/>
          <w:szCs w:val="24"/>
        </w:rPr>
        <w:t xml:space="preserve">investicionog fonda </w:t>
      </w:r>
      <w:r w:rsidRPr="00036A76">
        <w:rPr>
          <w:szCs w:val="24"/>
        </w:rPr>
        <w:t xml:space="preserve">(Izvještaja o ukupnom rezultatu u periodu) za period od 01.01. do 31.12.2015. godine, </w:t>
      </w:r>
      <w:r w:rsidRPr="00036A76">
        <w:rPr>
          <w:i/>
          <w:szCs w:val="24"/>
        </w:rPr>
        <w:t>Bilansa stanja</w:t>
      </w:r>
      <w:r w:rsidRPr="00036A76">
        <w:rPr>
          <w:szCs w:val="24"/>
        </w:rPr>
        <w:t xml:space="preserve"> </w:t>
      </w:r>
      <w:r w:rsidRPr="00036A76">
        <w:rPr>
          <w:i/>
          <w:szCs w:val="24"/>
        </w:rPr>
        <w:t xml:space="preserve">investicionog fonda </w:t>
      </w:r>
      <w:r w:rsidRPr="00036A76">
        <w:rPr>
          <w:szCs w:val="24"/>
        </w:rPr>
        <w:t xml:space="preserve">(Izvještaja o finansijskom položaju) na dan 31.12.2015. godine, Bilansa tokova gotovine (Izvještaja o tokovima gotovine) za period od 01.01. do 31.12.2015. godine, </w:t>
      </w:r>
      <w:r w:rsidRPr="00036A76">
        <w:rPr>
          <w:i/>
          <w:iCs/>
          <w:szCs w:val="24"/>
          <w:lang w:val="hr-HR"/>
        </w:rPr>
        <w:t xml:space="preserve">Izvještaj o promjenama neto imovine investicionog fonda </w:t>
      </w:r>
      <w:r w:rsidRPr="00036A76">
        <w:rPr>
          <w:szCs w:val="24"/>
          <w:lang w:val="hr-HR"/>
        </w:rPr>
        <w:t>za period od 01.01. do 31.12.2015. godine</w:t>
      </w:r>
      <w:r w:rsidRPr="00036A76">
        <w:rPr>
          <w:i/>
          <w:iCs/>
          <w:szCs w:val="24"/>
          <w:lang w:val="hr-HR"/>
        </w:rPr>
        <w:t xml:space="preserve">, </w:t>
      </w:r>
      <w:r w:rsidRPr="00036A76">
        <w:rPr>
          <w:szCs w:val="24"/>
        </w:rPr>
        <w:t xml:space="preserve"> </w:t>
      </w:r>
      <w:r w:rsidRPr="00036A76">
        <w:rPr>
          <w:szCs w:val="24"/>
          <w:lang w:val="hr-HR"/>
        </w:rPr>
        <w:t xml:space="preserve">i drugih izvještaja koje Fond sastavlja, </w:t>
      </w:r>
      <w:r w:rsidRPr="00036A76">
        <w:rPr>
          <w:szCs w:val="24"/>
        </w:rPr>
        <w:t xml:space="preserve"> </w:t>
      </w:r>
      <w:r w:rsidRPr="00036A76">
        <w:rPr>
          <w:szCs w:val="24"/>
          <w:lang w:val="hr-HR"/>
        </w:rPr>
        <w:t>a na osnovu</w:t>
      </w:r>
      <w:r w:rsidRPr="00036A76">
        <w:rPr>
          <w:szCs w:val="24"/>
        </w:rPr>
        <w:t xml:space="preserve"> </w:t>
      </w:r>
      <w:r w:rsidRPr="00036A76">
        <w:rPr>
          <w:szCs w:val="24"/>
          <w:lang w:val="hr-HR"/>
        </w:rPr>
        <w:t xml:space="preserve"> "</w:t>
      </w:r>
      <w:r w:rsidRPr="00036A76">
        <w:rPr>
          <w:i/>
          <w:iCs/>
          <w:szCs w:val="24"/>
          <w:lang w:val="hr-HR"/>
        </w:rPr>
        <w:t>Zakona o računovodstvu i reviziji Republike Srpske</w:t>
      </w:r>
      <w:r w:rsidRPr="00036A76">
        <w:rPr>
          <w:szCs w:val="24"/>
          <w:lang w:val="hr-HR"/>
        </w:rPr>
        <w:t>", Međunarodnih standarda revizije i pratećih propisa koji regulišu ovu oblast</w:t>
      </w:r>
      <w:r w:rsidRPr="00036A76">
        <w:rPr>
          <w:szCs w:val="24"/>
        </w:rPr>
        <w:t xml:space="preserve">. </w:t>
      </w:r>
      <w:r w:rsidRPr="00036A76">
        <w:rPr>
          <w:szCs w:val="24"/>
          <w:lang w:val="hr-HR"/>
        </w:rPr>
        <w:t>Bilješke</w:t>
      </w:r>
      <w:r w:rsidRPr="00036A76">
        <w:rPr>
          <w:szCs w:val="24"/>
        </w:rPr>
        <w:t xml:space="preserve"> </w:t>
      </w:r>
      <w:r w:rsidRPr="00036A76">
        <w:rPr>
          <w:szCs w:val="24"/>
          <w:lang w:val="hr-HR"/>
        </w:rPr>
        <w:t>- note uz finansijske izvještaje, shodno RS RS 1: Predstavljanje – prezentacija finansijskih izvještaja stavljene su na uvid uz finansijske izvještaje.</w:t>
      </w:r>
    </w:p>
    <w:p w:rsidR="00F226D1" w:rsidRPr="00036A76" w:rsidRDefault="00F226D1" w:rsidP="00F226D1">
      <w:pPr>
        <w:pStyle w:val="BodyText"/>
        <w:tabs>
          <w:tab w:val="num" w:pos="720"/>
        </w:tabs>
        <w:rPr>
          <w:szCs w:val="24"/>
          <w:lang w:val="sr-Latn-BA"/>
        </w:rPr>
      </w:pPr>
      <w:r w:rsidRPr="00036A76">
        <w:rPr>
          <w:b/>
          <w:bCs/>
          <w:szCs w:val="24"/>
        </w:rPr>
        <w:t>2.</w:t>
      </w:r>
      <w:r w:rsidRPr="00036A76">
        <w:rPr>
          <w:szCs w:val="24"/>
        </w:rPr>
        <w:t xml:space="preserve"> Odgovornost za računovodstvene izvještaje i podatke prikazane u njima jeste na  Društvu za upravljanje Fondom. Odgovornost revizora je da na osnovu izvršene revizije izrazi mišljenje o </w:t>
      </w:r>
      <w:r w:rsidRPr="00036A76">
        <w:rPr>
          <w:szCs w:val="24"/>
        </w:rPr>
        <w:lastRenderedPageBreak/>
        <w:t>prikazanim finansijskim izvještajima. Informacije i objašnjenja koja su tražena u postupku revizije bila su na raspolaganju.</w:t>
      </w:r>
    </w:p>
    <w:p w:rsidR="00F226D1" w:rsidRPr="00036A76" w:rsidRDefault="00F226D1" w:rsidP="00F226D1">
      <w:pPr>
        <w:pStyle w:val="BodyText"/>
        <w:tabs>
          <w:tab w:val="num" w:pos="720"/>
        </w:tabs>
        <w:rPr>
          <w:szCs w:val="24"/>
          <w:lang w:val="sr-Latn-BA"/>
        </w:rPr>
      </w:pPr>
      <w:r w:rsidRPr="00036A76">
        <w:rPr>
          <w:b/>
          <w:bCs/>
          <w:szCs w:val="24"/>
        </w:rPr>
        <w:t>3.</w:t>
      </w:r>
      <w:r w:rsidRPr="00036A76">
        <w:rPr>
          <w:szCs w:val="24"/>
        </w:rPr>
        <w:t xml:space="preserve"> Revizija je izvršena u </w:t>
      </w:r>
      <w:r w:rsidRPr="00036A76">
        <w:rPr>
          <w:b/>
          <w:i/>
          <w:szCs w:val="24"/>
        </w:rPr>
        <w:t>martu  2016.</w:t>
      </w:r>
      <w:r w:rsidRPr="00036A76">
        <w:rPr>
          <w:szCs w:val="24"/>
        </w:rPr>
        <w:t xml:space="preserve"> godine, a u skladu sa </w:t>
      </w:r>
      <w:r w:rsidRPr="00036A76">
        <w:rPr>
          <w:i/>
          <w:iCs/>
          <w:szCs w:val="24"/>
        </w:rPr>
        <w:t>Međunarodnim standardima revizije</w:t>
      </w:r>
      <w:r w:rsidRPr="00036A76">
        <w:rPr>
          <w:szCs w:val="24"/>
        </w:rPr>
        <w:t xml:space="preserve"> koji zahtjevaju da se revizija planira i izvrši na način koji omogućava da se u razumnoj mjeri može utvrditi da računovodstveni izvještaji ne sadrže pogrešne, materijalno značajne informacije. Revizija uključuje ispitivanje dokaza na bazi provjere uzoraka kojima se potvrđuju iznosi i informacije objelodanjeni u računovodstvenim izvještajima. Revizija, takođe, uključuje ocjenu primjenjenih računovodstvenih načela i vrednovanje značajnih procjena koje je izvršila Uprava i rukovodstvo Fonda, kao i sveukupnu ocjenu prezentacije računovodstvenih izvještaja.</w:t>
      </w:r>
    </w:p>
    <w:p w:rsidR="00F226D1" w:rsidRPr="00036A76" w:rsidRDefault="00F226D1" w:rsidP="00F226D1">
      <w:pPr>
        <w:pStyle w:val="BodyText"/>
        <w:tabs>
          <w:tab w:val="num" w:pos="720"/>
        </w:tabs>
        <w:rPr>
          <w:szCs w:val="24"/>
          <w:lang w:val="sr-Latn-BA"/>
        </w:rPr>
      </w:pPr>
      <w:r w:rsidRPr="00036A76">
        <w:rPr>
          <w:b/>
          <w:bCs/>
          <w:szCs w:val="24"/>
        </w:rPr>
        <w:t>4.</w:t>
      </w:r>
      <w:r w:rsidRPr="00036A76">
        <w:rPr>
          <w:szCs w:val="24"/>
        </w:rPr>
        <w:t xml:space="preserve"> Smatramo da izvršena revizija obezbjeđuje razumnu osnovu za izražavanje revizorskog mišljenja.</w:t>
      </w:r>
    </w:p>
    <w:p w:rsidR="00F226D1" w:rsidRPr="00036A76" w:rsidRDefault="00F226D1" w:rsidP="00F226D1">
      <w:pPr>
        <w:pStyle w:val="BodyText"/>
        <w:tabs>
          <w:tab w:val="num" w:pos="720"/>
        </w:tabs>
        <w:rPr>
          <w:bCs/>
          <w:iCs/>
          <w:szCs w:val="24"/>
          <w:lang w:val="sr-Latn-BA"/>
        </w:rPr>
      </w:pPr>
      <w:r w:rsidRPr="00036A76">
        <w:rPr>
          <w:b/>
          <w:bCs/>
          <w:szCs w:val="24"/>
        </w:rPr>
        <w:t>5.</w:t>
      </w:r>
      <w:r w:rsidRPr="00036A76">
        <w:rPr>
          <w:szCs w:val="24"/>
        </w:rPr>
        <w:t xml:space="preserve"> Prema našem mišljenju finansijski izvještaji </w:t>
      </w:r>
      <w:r w:rsidRPr="00036A76">
        <w:rPr>
          <w:b/>
          <w:bCs/>
          <w:i/>
          <w:iCs/>
          <w:szCs w:val="24"/>
        </w:rPr>
        <w:t>Zatvorenog investicionog fonda sa javnom ponudom "INVEST NOVA FOND" AD Bijeljina</w:t>
      </w:r>
      <w:r w:rsidRPr="00036A76">
        <w:rPr>
          <w:bCs/>
          <w:iCs/>
          <w:szCs w:val="24"/>
        </w:rPr>
        <w:t xml:space="preserve"> </w:t>
      </w:r>
      <w:r w:rsidRPr="00036A76">
        <w:rPr>
          <w:bCs/>
          <w:szCs w:val="24"/>
        </w:rPr>
        <w:t xml:space="preserve"> </w:t>
      </w:r>
      <w:r w:rsidRPr="00036A76">
        <w:rPr>
          <w:szCs w:val="24"/>
        </w:rPr>
        <w:t xml:space="preserve">za 2015. godinu u svim materijalno značajnim aspektima </w:t>
      </w:r>
      <w:r w:rsidRPr="00036A76">
        <w:rPr>
          <w:bCs/>
          <w:iCs/>
          <w:szCs w:val="24"/>
        </w:rPr>
        <w:t>predstavljaju realno i objektivno finansijsko stanje Fonda na dan 31.12.2015. godine i rezultate poslovanja za period koji se završava 31.12.2015. godine, te da su u postupku sačinjavanja finansijskih izvještaja primjenjena propisana rješenja i standardi u mjeri u kojoj se obezbjeđuje da oni  ne sadrže materijalno značajne pogreške.</w:t>
      </w:r>
    </w:p>
    <w:p w:rsidR="00F226D1" w:rsidRPr="00036A76" w:rsidRDefault="00F226D1" w:rsidP="00F226D1">
      <w:pPr>
        <w:pStyle w:val="BodyText"/>
        <w:rPr>
          <w:szCs w:val="24"/>
          <w:lang w:val="hr-HR"/>
        </w:rPr>
      </w:pPr>
      <w:r w:rsidRPr="00036A76">
        <w:rPr>
          <w:szCs w:val="24"/>
          <w:lang w:val="hr-HR"/>
        </w:rPr>
        <w:t>Pojedinačna zapažanja po konkretnim pitanjima data su na odgovarajućim mjestima u ovom Izvještaju.</w:t>
      </w:r>
    </w:p>
    <w:p w:rsidR="00F226D1" w:rsidRPr="00036A76" w:rsidRDefault="00F226D1" w:rsidP="00F226D1">
      <w:pPr>
        <w:pStyle w:val="BodyText"/>
        <w:rPr>
          <w:b/>
          <w:bCs/>
          <w:szCs w:val="24"/>
        </w:rPr>
      </w:pPr>
      <w:r w:rsidRPr="00036A76">
        <w:rPr>
          <w:b/>
          <w:bCs/>
          <w:szCs w:val="24"/>
        </w:rPr>
        <w:t>6.</w:t>
      </w:r>
      <w:r w:rsidRPr="00036A76">
        <w:rPr>
          <w:szCs w:val="24"/>
        </w:rPr>
        <w:t xml:space="preserve"> Informacije koje su na kraju  Izvještaja o reviziji prezentovane kao </w:t>
      </w:r>
      <w:r w:rsidRPr="00036A76">
        <w:rPr>
          <w:i/>
          <w:iCs/>
          <w:szCs w:val="24"/>
        </w:rPr>
        <w:t>Napomene uz finansijski izvještaj</w:t>
      </w:r>
      <w:r w:rsidRPr="00036A76">
        <w:rPr>
          <w:szCs w:val="24"/>
        </w:rPr>
        <w:t xml:space="preserve"> date su u svrhu dodatnih analiza i objašnjenja i svaka od njih odnosi se na pojedinačna pitanja. Date informacije bile su predmet pažnje u postupku revizije finansijskih izvještaja i primjenjenih revizorskih procedura i, po našem mišljenju, objektivno prezentuju, u materijalno značajnim aspektima, vezu sa finansijskim izvještajima posmatrano u cjelini.</w:t>
      </w:r>
    </w:p>
    <w:p w:rsidR="00B5457E" w:rsidRPr="00036A76" w:rsidRDefault="00B5457E" w:rsidP="00F226D1">
      <w:pPr>
        <w:pStyle w:val="BodyText"/>
        <w:rPr>
          <w:b/>
          <w:bCs/>
          <w:szCs w:val="24"/>
          <w:lang w:val="sr-Latn-BA"/>
        </w:rPr>
      </w:pPr>
    </w:p>
    <w:p w:rsidR="00F226D1" w:rsidRPr="00036A76" w:rsidRDefault="00F226D1" w:rsidP="00F226D1">
      <w:pPr>
        <w:pStyle w:val="BodyText"/>
        <w:rPr>
          <w:szCs w:val="24"/>
        </w:rPr>
      </w:pPr>
      <w:r w:rsidRPr="00036A76">
        <w:rPr>
          <w:szCs w:val="24"/>
        </w:rPr>
        <w:t>U Bijeljini, 15. mart 2016. godine</w:t>
      </w:r>
    </w:p>
    <w:p w:rsidR="00F226D1" w:rsidRPr="00036A76" w:rsidRDefault="00F226D1" w:rsidP="00F226D1">
      <w:pPr>
        <w:pStyle w:val="BodyText"/>
        <w:rPr>
          <w:szCs w:val="24"/>
          <w:lang w:val="sr-Latn-BA"/>
        </w:rPr>
      </w:pPr>
      <w:r w:rsidRPr="00036A76">
        <w:rPr>
          <w:szCs w:val="24"/>
        </w:rPr>
        <w:t>Ovlašteni revizor:</w:t>
      </w:r>
      <w:r w:rsidRPr="00036A76">
        <w:rPr>
          <w:szCs w:val="24"/>
          <w:lang w:val="sr-Latn-BA"/>
        </w:rPr>
        <w:t xml:space="preserve"> </w:t>
      </w:r>
      <w:r w:rsidRPr="00036A76">
        <w:rPr>
          <w:szCs w:val="24"/>
        </w:rPr>
        <w:t>Prof. dr Rajko RADOVIĆ</w:t>
      </w:r>
    </w:p>
    <w:p w:rsidR="00B5457E" w:rsidRPr="00036A76" w:rsidRDefault="00F226D1" w:rsidP="00B5457E">
      <w:pPr>
        <w:pStyle w:val="BodyText"/>
        <w:rPr>
          <w:szCs w:val="24"/>
          <w:lang w:val="sr-Latn-BA"/>
        </w:rPr>
      </w:pPr>
      <w:r w:rsidRPr="00036A76">
        <w:rPr>
          <w:szCs w:val="24"/>
        </w:rPr>
        <w:t>Redni broj licence: 429/14</w:t>
      </w:r>
    </w:p>
    <w:p w:rsidR="00B5457E" w:rsidRPr="00036A76" w:rsidRDefault="00B5457E" w:rsidP="00B5457E">
      <w:pPr>
        <w:pStyle w:val="BodyText"/>
        <w:rPr>
          <w:szCs w:val="24"/>
          <w:lang w:val="sr-Latn-BA"/>
        </w:rPr>
      </w:pPr>
    </w:p>
    <w:p w:rsidR="00712FD8" w:rsidRPr="00036A76" w:rsidRDefault="00B37EE1" w:rsidP="00757A8C">
      <w:pPr>
        <w:ind w:left="0" w:firstLine="0"/>
        <w:contextualSpacing/>
        <w:jc w:val="left"/>
      </w:pPr>
      <w:r w:rsidRPr="00036A76">
        <w:t xml:space="preserve"> </w:t>
      </w:r>
    </w:p>
    <w:p w:rsidR="00712FD8" w:rsidRPr="00036A76" w:rsidRDefault="00712FD8" w:rsidP="00712FD8">
      <w:pPr>
        <w:ind w:left="0" w:firstLine="0"/>
        <w:rPr>
          <w:b/>
          <w:lang w:val="sr-Latn-BA"/>
        </w:rPr>
      </w:pPr>
      <w:r w:rsidRPr="00036A76">
        <w:rPr>
          <w:b/>
          <w:lang w:val="sr-Latn-BA"/>
        </w:rPr>
        <w:t>Politika dividende</w:t>
      </w:r>
      <w:r w:rsidR="00B5457E" w:rsidRPr="00036A76">
        <w:rPr>
          <w:b/>
          <w:lang w:val="sr-Latn-BA"/>
        </w:rPr>
        <w:t>:</w:t>
      </w:r>
    </w:p>
    <w:p w:rsidR="00712FD8" w:rsidRPr="00036A76" w:rsidRDefault="00712FD8" w:rsidP="00712FD8">
      <w:pPr>
        <w:ind w:left="0" w:firstLine="0"/>
        <w:rPr>
          <w:lang w:val="sr-Latn-BA"/>
        </w:rPr>
      </w:pPr>
      <w:r w:rsidRPr="00036A76">
        <w:rPr>
          <w:lang w:val="sr-Latn-BA"/>
        </w:rPr>
        <w:t xml:space="preserve">Fond je od osnivanja, kao privatizacioni investicioni </w:t>
      </w:r>
      <w:r w:rsidR="000D33BD" w:rsidRPr="00036A76">
        <w:rPr>
          <w:lang w:val="sr-Latn-BA"/>
        </w:rPr>
        <w:t>fond</w:t>
      </w:r>
      <w:r w:rsidRPr="00036A76">
        <w:rPr>
          <w:lang w:val="sr-Latn-BA"/>
        </w:rPr>
        <w:t xml:space="preserve">, i nakon  transformacije u zatvoreni </w:t>
      </w:r>
      <w:r w:rsidR="00BD62DE" w:rsidRPr="00036A76">
        <w:rPr>
          <w:lang w:val="sr-Latn-BA"/>
        </w:rPr>
        <w:t xml:space="preserve">mješoviti </w:t>
      </w:r>
      <w:r w:rsidRPr="00036A76">
        <w:rPr>
          <w:lang w:val="sr-Latn-BA"/>
        </w:rPr>
        <w:t>investicioni fond sa javnom ponudom, akumulirao nerealizovane gubitke po osnovu držanja ulaganja, kao i realizovane gubitke po osnovu prodaje ulaganja iz svoga portfelja, tako da iz poslovanja još uvijek ne ostvaruje poslovni dobitak, iz koga bi se isp</w:t>
      </w:r>
      <w:r w:rsidR="00BD62DE" w:rsidRPr="00036A76">
        <w:rPr>
          <w:lang w:val="sr-Latn-BA"/>
        </w:rPr>
        <w:t>laćivala dividenda akcionarima F</w:t>
      </w:r>
      <w:r w:rsidRPr="00036A76">
        <w:rPr>
          <w:lang w:val="sr-Latn-BA"/>
        </w:rPr>
        <w:t>onda.</w:t>
      </w:r>
    </w:p>
    <w:p w:rsidR="005B18F5" w:rsidRPr="00036A76" w:rsidRDefault="005B18F5" w:rsidP="00712FD8">
      <w:pPr>
        <w:ind w:left="0" w:firstLine="0"/>
        <w:rPr>
          <w:lang w:val="sr-Latn-BA"/>
        </w:rPr>
      </w:pPr>
      <w:r w:rsidRPr="00036A76">
        <w:rPr>
          <w:lang w:val="sr-Latn-BA"/>
        </w:rPr>
        <w:t>Fond u budućnosti ne planira ostvarivanje poslovnog dobitka i isplatu dividende.</w:t>
      </w:r>
    </w:p>
    <w:p w:rsidR="00CD09D1" w:rsidRPr="00036A76" w:rsidRDefault="00CD09D1" w:rsidP="00712FD8">
      <w:pPr>
        <w:ind w:left="0" w:firstLine="0"/>
        <w:rPr>
          <w:lang w:val="sr-Latn-BA"/>
        </w:rPr>
      </w:pPr>
    </w:p>
    <w:p w:rsidR="000D33BD" w:rsidRPr="00036A76" w:rsidRDefault="000D33BD" w:rsidP="000D33BD">
      <w:pPr>
        <w:ind w:left="-360" w:firstLine="360"/>
        <w:contextualSpacing/>
        <w:jc w:val="left"/>
        <w:rPr>
          <w:b/>
        </w:rPr>
      </w:pPr>
    </w:p>
    <w:p w:rsidR="000D33BD" w:rsidRPr="00036A76" w:rsidRDefault="000D33BD" w:rsidP="000D33BD">
      <w:pPr>
        <w:ind w:left="-360" w:firstLine="360"/>
        <w:contextualSpacing/>
        <w:jc w:val="left"/>
        <w:rPr>
          <w:b/>
        </w:rPr>
      </w:pPr>
      <w:r w:rsidRPr="00036A76">
        <w:rPr>
          <w:b/>
        </w:rPr>
        <w:t>Sudski, upravni i arbitražni postupci:</w:t>
      </w:r>
    </w:p>
    <w:p w:rsidR="000D33BD" w:rsidRPr="00036A76" w:rsidRDefault="000D33BD" w:rsidP="000D33BD">
      <w:pPr>
        <w:ind w:left="-360" w:firstLine="360"/>
        <w:contextualSpacing/>
        <w:jc w:val="left"/>
        <w:rPr>
          <w:b/>
        </w:rPr>
      </w:pPr>
      <w:r w:rsidRPr="00036A76">
        <w:rPr>
          <w:lang w:val="hr-HR"/>
        </w:rPr>
        <w:t>Fond ima sljedeće sudske sporove.</w:t>
      </w:r>
    </w:p>
    <w:p w:rsidR="000D33BD" w:rsidRPr="00036A76" w:rsidRDefault="000D33BD" w:rsidP="00F553CF">
      <w:pPr>
        <w:numPr>
          <w:ilvl w:val="0"/>
          <w:numId w:val="4"/>
        </w:numPr>
        <w:rPr>
          <w:lang w:val="sr-Latn-CS"/>
        </w:rPr>
      </w:pPr>
      <w:r w:rsidRPr="00036A76">
        <w:rPr>
          <w:b/>
          <w:i/>
          <w:lang w:val="sr-Latn-CS"/>
        </w:rPr>
        <w:t>Tuženi:</w:t>
      </w:r>
      <w:r w:rsidRPr="00036A76">
        <w:rPr>
          <w:lang w:val="sr-Latn-CS"/>
        </w:rPr>
        <w:t xml:space="preserve"> Petar Dušanić, iz Prnjavora, Ulica Nikolaja Velimirovića 39, Kompanija Dušanić d.o.o. Prnjavor i Zoran Lukanović, iz Gornje Mravice bb, Prnjavor (u pravnoj stvari povodom emitenta TP „Promet“ a.d. Prnjavor), vrijednost spora: 355.204,15 KM,</w:t>
      </w:r>
    </w:p>
    <w:p w:rsidR="000D33BD" w:rsidRPr="00036A76" w:rsidRDefault="000D33BD" w:rsidP="00F553CF">
      <w:pPr>
        <w:numPr>
          <w:ilvl w:val="0"/>
          <w:numId w:val="4"/>
        </w:numPr>
        <w:rPr>
          <w:lang w:val="sr-Latn-CS"/>
        </w:rPr>
      </w:pPr>
      <w:r w:rsidRPr="00036A76">
        <w:rPr>
          <w:b/>
          <w:i/>
          <w:lang w:val="sr-Latn-CS"/>
        </w:rPr>
        <w:t>Tuženi:</w:t>
      </w:r>
      <w:r w:rsidRPr="00036A76">
        <w:rPr>
          <w:lang w:val="sr-Latn-CS"/>
        </w:rPr>
        <w:t xml:space="preserve"> Republika Srpska, Vlada Republike Srpske, zastupana po pravobranilaštvu Republike Srpske, Investiciono razvojna banka Republike Srpske, Ulica Mladena </w:t>
      </w:r>
      <w:r w:rsidRPr="00036A76">
        <w:rPr>
          <w:lang w:val="sr-Latn-CS"/>
        </w:rPr>
        <w:lastRenderedPageBreak/>
        <w:t>Stojanovića 17, 78000 Banja Luka, zastupana po direktoru i zakonskom zastupniku, a ovaj po Pravobranilaštvu Republike Srpske, i Brčko Distrikt Bosne i Hercegovine, vrijednost spora: 1.000.000,00 KM – zajedno u postupku sa Zatvorenim investicionim fondom sa javnom ponudom „BLB Profit“ a.d. Banja Luka, Zatvorenim investicionim fondom sa javnom ponudom „Bors invest fond“ a.d. Banja Luka, Zatvorenim investicionim fondom sa javnom ponudom „Kristal invest fond“ a.d. Banja Luka, Zatvorenim investicionim fondom sa javnom ponudom „Jahorina konseko invest“ a.d. Pale i Zatvorenim investicionim fondom sa javnom ponudom „Polara invest fond“ a.d. Banja Luka.  U ovom sporu pravni subjekt ZIF Invest nova fond a.d. Bijeljina i ostali, nema stepena rizičnosti iz razloga što je izvršio nadoknadu emitentu, a akcije nisu u vlasništvu, s tim u vezi neophodno je iz ovog sudskog spora ostvariti obeštećenje.</w:t>
      </w:r>
    </w:p>
    <w:p w:rsidR="000D33BD" w:rsidRPr="00036A76" w:rsidRDefault="000D33BD" w:rsidP="000D33BD">
      <w:r w:rsidRPr="00036A76">
        <w:t>Ishod kao i trajanje postupaka su neizvjesni.</w:t>
      </w:r>
    </w:p>
    <w:p w:rsidR="00712FD8" w:rsidRPr="00036A76" w:rsidRDefault="00712FD8" w:rsidP="0035167D">
      <w:pPr>
        <w:ind w:left="0" w:firstLine="0"/>
        <w:contextualSpacing/>
        <w:jc w:val="left"/>
        <w:rPr>
          <w:b/>
        </w:rPr>
      </w:pPr>
    </w:p>
    <w:p w:rsidR="00450CD1" w:rsidRPr="00036A76" w:rsidRDefault="00450CD1" w:rsidP="0035167D">
      <w:pPr>
        <w:ind w:left="0" w:firstLine="0"/>
        <w:contextualSpacing/>
        <w:jc w:val="left"/>
        <w:rPr>
          <w:b/>
        </w:rPr>
      </w:pPr>
      <w:r w:rsidRPr="00036A76">
        <w:rPr>
          <w:b/>
        </w:rPr>
        <w:t>Značajna promjena finansijskog ili tržišnog položaja emitenta:</w:t>
      </w:r>
    </w:p>
    <w:p w:rsidR="00C36F62" w:rsidRPr="00036A76" w:rsidRDefault="00D05C12" w:rsidP="0035167D">
      <w:pPr>
        <w:ind w:left="0" w:firstLine="0"/>
        <w:contextualSpacing/>
      </w:pPr>
      <w:r w:rsidRPr="00036A76">
        <w:t>Izjavljujemo da nije bilo značajnijih promjena fina</w:t>
      </w:r>
      <w:r w:rsidR="005B18F5" w:rsidRPr="00036A76">
        <w:t>nsijskog ili tržišnog položaja z</w:t>
      </w:r>
      <w:r w:rsidRPr="00036A76">
        <w:t xml:space="preserve">atvorenog </w:t>
      </w:r>
      <w:r w:rsidR="00BD62DE" w:rsidRPr="00036A76">
        <w:t xml:space="preserve">mješovitog </w:t>
      </w:r>
      <w:r w:rsidRPr="00036A76">
        <w:t>investicionog fonda sa javnom ponudom „Invest nova fond“  a.d. Bijeljina, koje su se dogodile</w:t>
      </w:r>
      <w:r w:rsidR="000D33BD" w:rsidRPr="00036A76">
        <w:t xml:space="preserve"> od </w:t>
      </w:r>
      <w:r w:rsidRPr="00036A76">
        <w:t>završetka posljednjeg finansijskog perioda za koji su objavljene revidirane fin</w:t>
      </w:r>
      <w:r w:rsidR="00434F7F" w:rsidRPr="00036A76">
        <w:t>ansijske informacije (01.01.2016. godine do 31.12.2016</w:t>
      </w:r>
      <w:r w:rsidRPr="00036A76">
        <w:t>. godine).</w:t>
      </w:r>
    </w:p>
    <w:p w:rsidR="005B18F5" w:rsidRPr="00036A76" w:rsidRDefault="005B18F5" w:rsidP="0035167D">
      <w:pPr>
        <w:ind w:left="0" w:firstLine="0"/>
        <w:contextualSpacing/>
      </w:pPr>
      <w:r w:rsidRPr="00036A76">
        <w:t xml:space="preserve">Do promjene finansijskog i tržišnog položaja Fonda će doći nakon smanjenja osnovnog kapitala Fonda, po osnovu </w:t>
      </w:r>
      <w:r w:rsidR="00C73719" w:rsidRPr="00036A76">
        <w:t xml:space="preserve">izdvajanja dijela imovine u otvoreni investicioni Fond, </w:t>
      </w:r>
      <w:r w:rsidRPr="00036A76">
        <w:t xml:space="preserve">u skladu sa Odlukom o </w:t>
      </w:r>
      <w:r w:rsidR="00C73719" w:rsidRPr="00036A76">
        <w:t>djelimičnom preoblikovanju ZMIF-a.</w:t>
      </w:r>
    </w:p>
    <w:p w:rsidR="000E73E8" w:rsidRPr="00036A76" w:rsidRDefault="000E73E8" w:rsidP="00450CD1">
      <w:pPr>
        <w:ind w:left="0" w:firstLine="0"/>
      </w:pPr>
    </w:p>
    <w:p w:rsidR="00AD1718" w:rsidRPr="00036A76" w:rsidRDefault="00450CD1" w:rsidP="00F553CF">
      <w:pPr>
        <w:pStyle w:val="ListParagraph"/>
        <w:numPr>
          <w:ilvl w:val="0"/>
          <w:numId w:val="8"/>
        </w:numPr>
        <w:rPr>
          <w:b/>
        </w:rPr>
      </w:pPr>
      <w:r w:rsidRPr="00036A76">
        <w:rPr>
          <w:b/>
        </w:rPr>
        <w:t>DODATNE INFORMACIJE</w:t>
      </w:r>
    </w:p>
    <w:p w:rsidR="00253417" w:rsidRPr="00036A76" w:rsidRDefault="00253417" w:rsidP="00F553CF">
      <w:pPr>
        <w:pStyle w:val="ListParagraph"/>
        <w:numPr>
          <w:ilvl w:val="1"/>
          <w:numId w:val="8"/>
        </w:numPr>
        <w:ind w:left="0" w:firstLine="0"/>
        <w:rPr>
          <w:b/>
        </w:rPr>
      </w:pPr>
      <w:r w:rsidRPr="00036A76">
        <w:rPr>
          <w:b/>
        </w:rPr>
        <w:t>Osnovni kapital</w:t>
      </w:r>
    </w:p>
    <w:p w:rsidR="00AD1718" w:rsidRPr="00036A76" w:rsidRDefault="00AD1718" w:rsidP="00A93F93">
      <w:pPr>
        <w:ind w:left="0" w:firstLine="0"/>
        <w:contextualSpacing/>
      </w:pPr>
      <w:r w:rsidRPr="00036A76">
        <w:t>Fond je pravni sljedbenik Privatizacionog investicionog fonda “Invest nova fond” a.d. Bijeljina, organizovan u formi otvorenog akcionarskog društva.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D1718" w:rsidRPr="00036A76" w:rsidTr="00AD1718">
        <w:tc>
          <w:tcPr>
            <w:tcW w:w="9576" w:type="dxa"/>
          </w:tcPr>
          <w:p w:rsidR="00AD1718" w:rsidRPr="00036A76" w:rsidRDefault="00AD1718" w:rsidP="00AD1718">
            <w:pPr>
              <w:tabs>
                <w:tab w:val="center" w:pos="4320"/>
                <w:tab w:val="right" w:pos="8640"/>
              </w:tabs>
              <w:ind w:left="0" w:firstLine="0"/>
              <w:jc w:val="left"/>
            </w:pPr>
            <w:r w:rsidRPr="00036A76">
              <w:t xml:space="preserve">Osnovni kapital Fonda                                                                        </w:t>
            </w:r>
            <w:r w:rsidR="00F74BBC" w:rsidRPr="00036A76">
              <w:t xml:space="preserve">               134.760.199,00 KM</w:t>
            </w:r>
            <w:r w:rsidRPr="00036A76">
              <w:t xml:space="preserve">                                                                                                                </w:t>
            </w:r>
          </w:p>
        </w:tc>
      </w:tr>
      <w:tr w:rsidR="00AD1718" w:rsidRPr="00036A76" w:rsidTr="00AD1718">
        <w:tc>
          <w:tcPr>
            <w:tcW w:w="9576" w:type="dxa"/>
          </w:tcPr>
          <w:p w:rsidR="00AD1718" w:rsidRPr="00036A76" w:rsidRDefault="00AD1718" w:rsidP="00AD1718">
            <w:pPr>
              <w:tabs>
                <w:tab w:val="center" w:pos="4320"/>
                <w:tab w:val="right" w:pos="8640"/>
              </w:tabs>
              <w:ind w:left="0" w:firstLine="0"/>
              <w:jc w:val="left"/>
            </w:pPr>
            <w:r w:rsidRPr="00036A76">
              <w:t xml:space="preserve">Emisiona premija                                                                            </w:t>
            </w:r>
            <w:r w:rsidR="007A127A" w:rsidRPr="00036A76">
              <w:t xml:space="preserve">                       1.886.642</w:t>
            </w:r>
            <w:r w:rsidRPr="00036A76">
              <w:t xml:space="preserve">,00 KM                                                                                                                                 </w:t>
            </w:r>
          </w:p>
        </w:tc>
      </w:tr>
      <w:tr w:rsidR="00AD1718" w:rsidRPr="00036A76" w:rsidTr="00AD1718">
        <w:tc>
          <w:tcPr>
            <w:tcW w:w="9576" w:type="dxa"/>
          </w:tcPr>
          <w:p w:rsidR="00AD1718" w:rsidRPr="00036A76" w:rsidRDefault="00AD1718" w:rsidP="00AD1718">
            <w:pPr>
              <w:tabs>
                <w:tab w:val="center" w:pos="4320"/>
                <w:tab w:val="right" w:pos="8640"/>
              </w:tabs>
              <w:ind w:left="0" w:firstLine="0"/>
              <w:jc w:val="left"/>
            </w:pPr>
            <w:r w:rsidRPr="00036A76">
              <w:t xml:space="preserve">Nominalna vrijednost jedne akcije                                                                                      1,00 KM                                                                                                               </w:t>
            </w:r>
          </w:p>
        </w:tc>
      </w:tr>
      <w:tr w:rsidR="00AD1718" w:rsidRPr="00036A76" w:rsidTr="00AD1718">
        <w:tc>
          <w:tcPr>
            <w:tcW w:w="9576" w:type="dxa"/>
          </w:tcPr>
          <w:p w:rsidR="00AD1718" w:rsidRPr="00036A76" w:rsidRDefault="00AD1718" w:rsidP="00AD1718">
            <w:pPr>
              <w:tabs>
                <w:tab w:val="center" w:pos="4320"/>
                <w:tab w:val="right" w:pos="8640"/>
              </w:tabs>
              <w:ind w:left="0" w:firstLine="0"/>
              <w:jc w:val="left"/>
            </w:pPr>
            <w:r w:rsidRPr="00036A76">
              <w:t xml:space="preserve">Broj emitovanih akcija                                                                              </w:t>
            </w:r>
            <w:r w:rsidR="007A127A" w:rsidRPr="00036A76">
              <w:t xml:space="preserve">                     134.760.199</w:t>
            </w:r>
            <w:r w:rsidRPr="00036A76">
              <w:t xml:space="preserve">                                                                                                                                </w:t>
            </w:r>
          </w:p>
        </w:tc>
      </w:tr>
    </w:tbl>
    <w:p w:rsidR="00253417" w:rsidRPr="00036A76" w:rsidRDefault="00457429" w:rsidP="00253417">
      <w:pPr>
        <w:ind w:left="0" w:firstLine="0"/>
      </w:pPr>
      <w:r w:rsidRPr="00036A76">
        <w:t>Fond nema odobrenih akcija.</w:t>
      </w:r>
    </w:p>
    <w:p w:rsidR="00457429" w:rsidRPr="00036A76" w:rsidRDefault="00457429" w:rsidP="00253417">
      <w:pPr>
        <w:ind w:left="0" w:firstLine="0"/>
      </w:pPr>
    </w:p>
    <w:p w:rsidR="00EF6B37" w:rsidRPr="00036A76" w:rsidRDefault="00EF6B37" w:rsidP="00F553CF">
      <w:pPr>
        <w:pStyle w:val="ListParagraph"/>
        <w:numPr>
          <w:ilvl w:val="2"/>
          <w:numId w:val="10"/>
        </w:numPr>
        <w:ind w:left="0" w:firstLine="0"/>
      </w:pPr>
      <w:r w:rsidRPr="00036A76">
        <w:t>Sticanje sopstvenih akcija</w:t>
      </w:r>
    </w:p>
    <w:p w:rsidR="00AD1718" w:rsidRPr="00036A76" w:rsidRDefault="00AD1718" w:rsidP="00AD1718">
      <w:pPr>
        <w:ind w:left="0" w:firstLine="0"/>
      </w:pPr>
      <w:r w:rsidRPr="00036A76">
        <w:t>Fond nema sopstvenih akcija.</w:t>
      </w:r>
    </w:p>
    <w:p w:rsidR="00EF6B37" w:rsidRPr="00036A76" w:rsidRDefault="00EF6B37" w:rsidP="00EF6B37">
      <w:pPr>
        <w:ind w:left="0" w:firstLine="0"/>
        <w:rPr>
          <w:lang w:val="sr-Latn-BA"/>
        </w:rPr>
      </w:pPr>
      <w:r w:rsidRPr="00036A76">
        <w:rPr>
          <w:lang w:val="sr-Latn-BA"/>
        </w:rPr>
        <w:t>Fond može sticati sopstvene akcije, ali tako da ukupna nominalna vrijednost stečenih akcija ne može preći 10 pos</w:t>
      </w:r>
      <w:r w:rsidR="00757A8C" w:rsidRPr="00036A76">
        <w:rPr>
          <w:lang w:val="sr-Latn-BA"/>
        </w:rPr>
        <w:t>to osnovnog kapitala F</w:t>
      </w:r>
      <w:r w:rsidRPr="00036A76">
        <w:rPr>
          <w:lang w:val="sr-Latn-BA"/>
        </w:rPr>
        <w:t>onda, osim u slučajevima:</w:t>
      </w:r>
    </w:p>
    <w:p w:rsidR="00EF6B37" w:rsidRPr="00036A76" w:rsidRDefault="00BD62DE" w:rsidP="00F553CF">
      <w:pPr>
        <w:pStyle w:val="ListParagraph"/>
        <w:numPr>
          <w:ilvl w:val="0"/>
          <w:numId w:val="2"/>
        </w:numPr>
        <w:rPr>
          <w:lang w:val="sr-Latn-BA"/>
        </w:rPr>
      </w:pPr>
      <w:r w:rsidRPr="00036A76">
        <w:rPr>
          <w:lang w:val="sr-Latn-BA"/>
        </w:rPr>
        <w:t>ako F</w:t>
      </w:r>
      <w:r w:rsidR="00EF6B37" w:rsidRPr="00036A76">
        <w:rPr>
          <w:lang w:val="sr-Latn-BA"/>
        </w:rPr>
        <w:t>ond ima rezerve koje se mogu koristiti za sticanje sopstvenih akcija,</w:t>
      </w:r>
    </w:p>
    <w:p w:rsidR="00EF6B37" w:rsidRPr="00036A76" w:rsidRDefault="00EF6B37" w:rsidP="00F553CF">
      <w:pPr>
        <w:pStyle w:val="ListParagraph"/>
        <w:numPr>
          <w:ilvl w:val="0"/>
          <w:numId w:val="2"/>
        </w:numPr>
        <w:rPr>
          <w:lang w:val="sr-Latn-BA"/>
        </w:rPr>
      </w:pPr>
      <w:r w:rsidRPr="00036A76">
        <w:rPr>
          <w:lang w:val="sr-Latn-BA"/>
        </w:rPr>
        <w:t>za sticanje akcija bez naknade, koje su u potpunosti plaćene,</w:t>
      </w:r>
    </w:p>
    <w:p w:rsidR="00EF6B37" w:rsidRPr="00036A76" w:rsidRDefault="00EF6B37" w:rsidP="00F553CF">
      <w:pPr>
        <w:pStyle w:val="ListParagraph"/>
        <w:numPr>
          <w:ilvl w:val="0"/>
          <w:numId w:val="2"/>
        </w:numPr>
        <w:rPr>
          <w:lang w:val="sr-Latn-BA"/>
        </w:rPr>
      </w:pPr>
      <w:r w:rsidRPr="00036A76">
        <w:rPr>
          <w:lang w:val="sr-Latn-BA"/>
        </w:rPr>
        <w:t>za sticanje akcija u postupku prinudne prodaje akcija, na osnovu</w:t>
      </w:r>
      <w:r w:rsidR="00BD62DE" w:rsidRPr="00036A76">
        <w:rPr>
          <w:lang w:val="sr-Latn-BA"/>
        </w:rPr>
        <w:t xml:space="preserve"> sudske odluke za ispalte duga Fondu, od strane akcionara F</w:t>
      </w:r>
      <w:r w:rsidRPr="00036A76">
        <w:rPr>
          <w:lang w:val="sr-Latn-BA"/>
        </w:rPr>
        <w:t>onda, pod uslovom da nema drugog načina za naplatu,</w:t>
      </w:r>
    </w:p>
    <w:p w:rsidR="00EF6B37" w:rsidRPr="00036A76" w:rsidRDefault="00EF6B37" w:rsidP="00F553CF">
      <w:pPr>
        <w:pStyle w:val="ListParagraph"/>
        <w:numPr>
          <w:ilvl w:val="0"/>
          <w:numId w:val="2"/>
        </w:numPr>
        <w:rPr>
          <w:lang w:val="sr-Latn-BA"/>
        </w:rPr>
      </w:pPr>
      <w:r w:rsidRPr="00036A76">
        <w:rPr>
          <w:lang w:val="sr-Latn-BA"/>
        </w:rPr>
        <w:t>statusnih promjena.</w:t>
      </w:r>
    </w:p>
    <w:p w:rsidR="00EF6B37" w:rsidRPr="00036A76" w:rsidRDefault="00EF6B37" w:rsidP="00EF6B37">
      <w:pPr>
        <w:ind w:left="0" w:firstLine="0"/>
        <w:rPr>
          <w:lang w:val="sr-Latn-BA"/>
        </w:rPr>
      </w:pPr>
      <w:r w:rsidRPr="00036A76">
        <w:rPr>
          <w:lang w:val="sr-Latn-BA"/>
        </w:rPr>
        <w:t>Fond ne može sticati sopstvene akcije sporazumom sa akcionarom, već samo putem javne ponude svim svojim akcionarima, u skladu sa zakonom.</w:t>
      </w:r>
    </w:p>
    <w:p w:rsidR="00EF6B37" w:rsidRPr="00036A76" w:rsidRDefault="00EF6B37" w:rsidP="00EF6B37">
      <w:pPr>
        <w:ind w:left="0" w:firstLine="0"/>
        <w:rPr>
          <w:lang w:val="sr-Latn-BA"/>
        </w:rPr>
      </w:pPr>
      <w:r w:rsidRPr="00036A76">
        <w:rPr>
          <w:lang w:val="sr-Latn-BA"/>
        </w:rPr>
        <w:t>Odluku o sticanju sops</w:t>
      </w:r>
      <w:r w:rsidR="00044856" w:rsidRPr="00036A76">
        <w:rPr>
          <w:lang w:val="sr-Latn-BA"/>
        </w:rPr>
        <w:t>tvenih akcija donosi Skupština F</w:t>
      </w:r>
      <w:r w:rsidRPr="00036A76">
        <w:rPr>
          <w:lang w:val="sr-Latn-BA"/>
        </w:rPr>
        <w:t>onda.</w:t>
      </w:r>
    </w:p>
    <w:p w:rsidR="00EF6B37" w:rsidRPr="00036A76" w:rsidRDefault="00044856" w:rsidP="00EF6B37">
      <w:pPr>
        <w:ind w:left="0" w:firstLine="0"/>
        <w:rPr>
          <w:lang w:val="sr-Latn-BA"/>
        </w:rPr>
      </w:pPr>
      <w:r w:rsidRPr="00036A76">
        <w:rPr>
          <w:lang w:val="sr-Latn-BA"/>
        </w:rPr>
        <w:lastRenderedPageBreak/>
        <w:t>Obaveza F</w:t>
      </w:r>
      <w:r w:rsidR="00EF6B37" w:rsidRPr="00036A76">
        <w:rPr>
          <w:lang w:val="sr-Latn-BA"/>
        </w:rPr>
        <w:t>onda je da sopstvene akcije, čija vrijednost ne prelazi 10% od njegovog osnovnog kapitala, a koje stekne po osnovu otkupa, otuđi najkasnije u periodu od jedne godine od dana sticanja.</w:t>
      </w:r>
    </w:p>
    <w:p w:rsidR="00EF6B37" w:rsidRPr="00036A76" w:rsidRDefault="00044856" w:rsidP="00EF6B37">
      <w:pPr>
        <w:ind w:left="0" w:firstLine="0"/>
        <w:rPr>
          <w:lang w:val="sr-Latn-BA"/>
        </w:rPr>
      </w:pPr>
      <w:r w:rsidRPr="00036A76">
        <w:rPr>
          <w:lang w:val="sr-Latn-BA"/>
        </w:rPr>
        <w:t>Obaveza F</w:t>
      </w:r>
      <w:r w:rsidR="00EF6B37" w:rsidRPr="00036A76">
        <w:rPr>
          <w:lang w:val="sr-Latn-BA"/>
        </w:rPr>
        <w:t>onda je da akcije, koje stekne po drugim osnovima, a koje prelaze procenat od 10%, otuđi najkasnije u periodu od tri godine od dana sticanja.</w:t>
      </w:r>
    </w:p>
    <w:p w:rsidR="00A93F93" w:rsidRPr="00036A76" w:rsidRDefault="00A93F93" w:rsidP="00EF6B37">
      <w:pPr>
        <w:ind w:left="0" w:firstLine="0"/>
        <w:rPr>
          <w:lang w:val="sr-Latn-BA"/>
        </w:rPr>
      </w:pPr>
    </w:p>
    <w:p w:rsidR="00AD1718" w:rsidRPr="00036A76" w:rsidRDefault="00AD1718" w:rsidP="00F553CF">
      <w:pPr>
        <w:pStyle w:val="ListParagraph"/>
        <w:numPr>
          <w:ilvl w:val="2"/>
          <w:numId w:val="10"/>
        </w:numPr>
        <w:ind w:left="0" w:firstLine="0"/>
      </w:pPr>
      <w:r w:rsidRPr="00036A76">
        <w:t>Fond nema zamjenjivih hartija od vrijednosti koje daju pravo na sticanje akcija Fonda, uz navođenje uslova u vezi sa sticanjem tih akcija.</w:t>
      </w:r>
    </w:p>
    <w:p w:rsidR="000E73E8" w:rsidRPr="00036A76" w:rsidRDefault="000E73E8" w:rsidP="000E73E8">
      <w:pPr>
        <w:pStyle w:val="ListParagraph"/>
        <w:ind w:left="0" w:firstLine="0"/>
        <w:rPr>
          <w:lang w:val="sr-Latn-BA"/>
        </w:rPr>
      </w:pPr>
    </w:p>
    <w:p w:rsidR="006E2E87" w:rsidRPr="00036A76" w:rsidRDefault="006E2E87" w:rsidP="00F553CF">
      <w:pPr>
        <w:pStyle w:val="ListParagraph"/>
        <w:numPr>
          <w:ilvl w:val="2"/>
          <w:numId w:val="10"/>
        </w:numPr>
        <w:ind w:left="0" w:firstLine="0"/>
        <w:rPr>
          <w:lang w:val="sr-Latn-BA"/>
        </w:rPr>
      </w:pPr>
      <w:r w:rsidRPr="00036A76">
        <w:t xml:space="preserve">Fond </w:t>
      </w:r>
      <w:r w:rsidR="00AD1718" w:rsidRPr="00036A76">
        <w:t xml:space="preserve">ima </w:t>
      </w:r>
      <w:r w:rsidR="00DC1F5F" w:rsidRPr="00036A76">
        <w:t xml:space="preserve">zakonsku </w:t>
      </w:r>
      <w:r w:rsidR="00AD1718" w:rsidRPr="00036A76">
        <w:t>obavez</w:t>
      </w:r>
      <w:r w:rsidRPr="00036A76">
        <w:t xml:space="preserve">u </w:t>
      </w:r>
      <w:r w:rsidR="00AD1718" w:rsidRPr="00036A76">
        <w:t>davanj</w:t>
      </w:r>
      <w:r w:rsidRPr="00036A76">
        <w:t>a</w:t>
      </w:r>
      <w:r w:rsidR="00AD1718" w:rsidRPr="00036A76">
        <w:t xml:space="preserve"> </w:t>
      </w:r>
      <w:r w:rsidR="00DC1F5F" w:rsidRPr="00036A76">
        <w:t xml:space="preserve">postojećim akcionarima prava prvenstva pri upisu hartija od vrijednosti kod budućih povećanja osnovnog kapitala. </w:t>
      </w:r>
      <w:r w:rsidRPr="00036A76">
        <w:rPr>
          <w:lang w:val="sr-Latn-BA"/>
        </w:rPr>
        <w:t xml:space="preserve">Rok za korišćenje ovoga prava je 15 dana, od dana početka upisa i uplate </w:t>
      </w:r>
      <w:r w:rsidR="00DC1F5F" w:rsidRPr="00036A76">
        <w:rPr>
          <w:lang w:val="sr-Latn-BA"/>
        </w:rPr>
        <w:t xml:space="preserve">HOV nove emisije. </w:t>
      </w:r>
      <w:r w:rsidRPr="00036A76">
        <w:rPr>
          <w:lang w:val="sr-Latn-BA"/>
        </w:rPr>
        <w:t>Pravo preče</w:t>
      </w:r>
      <w:r w:rsidR="00DC1F5F" w:rsidRPr="00036A76">
        <w:rPr>
          <w:lang w:val="sr-Latn-BA"/>
        </w:rPr>
        <w:t xml:space="preserve">g sticanja </w:t>
      </w:r>
      <w:r w:rsidRPr="00036A76">
        <w:rPr>
          <w:lang w:val="sr-Latn-BA"/>
        </w:rPr>
        <w:t xml:space="preserve">pripada licima koja imaju status akcionara fonda na dan presjeka. </w:t>
      </w:r>
    </w:p>
    <w:p w:rsidR="000E73E8" w:rsidRPr="00036A76" w:rsidRDefault="000E73E8" w:rsidP="000E73E8">
      <w:pPr>
        <w:pStyle w:val="ListParagraph"/>
        <w:ind w:left="0" w:firstLine="0"/>
        <w:rPr>
          <w:lang w:val="sr-Latn-BA"/>
        </w:rPr>
      </w:pPr>
    </w:p>
    <w:p w:rsidR="00AD1718" w:rsidRPr="00036A76" w:rsidRDefault="00AD1718" w:rsidP="00F553CF">
      <w:pPr>
        <w:pStyle w:val="ListParagraph"/>
        <w:numPr>
          <w:ilvl w:val="2"/>
          <w:numId w:val="10"/>
        </w:numPr>
        <w:ind w:left="0" w:firstLine="0"/>
      </w:pPr>
      <w:r w:rsidRPr="00036A76">
        <w:t>Fond nije izdavao izvedene hartije od vrijednosti.</w:t>
      </w:r>
    </w:p>
    <w:p w:rsidR="000E73E8" w:rsidRPr="00036A76" w:rsidRDefault="000E73E8" w:rsidP="000E73E8">
      <w:pPr>
        <w:pStyle w:val="ListParagraph"/>
        <w:ind w:left="0" w:firstLine="0"/>
      </w:pPr>
    </w:p>
    <w:p w:rsidR="00AD1718" w:rsidRPr="00036A76" w:rsidRDefault="00AD1718" w:rsidP="00F553CF">
      <w:pPr>
        <w:pStyle w:val="ListParagraph"/>
        <w:numPr>
          <w:ilvl w:val="2"/>
          <w:numId w:val="10"/>
        </w:numPr>
        <w:ind w:left="0" w:firstLine="0"/>
      </w:pPr>
      <w:r w:rsidRPr="00036A76">
        <w:t>U prethodnom periodu nije bilo promjena vrijednosti osnovnog kapitala Fonda.</w:t>
      </w:r>
    </w:p>
    <w:p w:rsidR="000E73E8" w:rsidRPr="00036A76" w:rsidRDefault="000E73E8" w:rsidP="000E73E8">
      <w:pPr>
        <w:pStyle w:val="ListParagraph"/>
        <w:ind w:left="0" w:firstLine="0"/>
      </w:pPr>
    </w:p>
    <w:p w:rsidR="00253417" w:rsidRPr="00036A76" w:rsidRDefault="00537ACB" w:rsidP="00F553CF">
      <w:pPr>
        <w:pStyle w:val="ListParagraph"/>
        <w:numPr>
          <w:ilvl w:val="1"/>
          <w:numId w:val="10"/>
        </w:numPr>
        <w:ind w:left="0" w:firstLine="0"/>
        <w:rPr>
          <w:b/>
        </w:rPr>
      </w:pPr>
      <w:r w:rsidRPr="00036A76">
        <w:rPr>
          <w:b/>
        </w:rPr>
        <w:t>Statut Fonda</w:t>
      </w:r>
    </w:p>
    <w:p w:rsidR="00EF6B37" w:rsidRPr="00036A76" w:rsidRDefault="00AD1718" w:rsidP="00685CE5">
      <w:pPr>
        <w:ind w:left="0" w:firstLine="0"/>
        <w:contextualSpacing/>
      </w:pPr>
      <w:r w:rsidRPr="00036A76">
        <w:t>Na Skupštini akcionara</w:t>
      </w:r>
      <w:r w:rsidR="00184C90" w:rsidRPr="00036A76">
        <w:t xml:space="preserve"> Fonda,</w:t>
      </w:r>
      <w:r w:rsidRPr="00036A76">
        <w:t xml:space="preserve"> održanoj dana 0</w:t>
      </w:r>
      <w:r w:rsidR="00E36FB8" w:rsidRPr="00036A76">
        <w:t>1</w:t>
      </w:r>
      <w:r w:rsidRPr="00036A76">
        <w:t>.0</w:t>
      </w:r>
      <w:r w:rsidR="00E36FB8" w:rsidRPr="00036A76">
        <w:t>7</w:t>
      </w:r>
      <w:r w:rsidRPr="00036A76">
        <w:t>.201</w:t>
      </w:r>
      <w:r w:rsidR="00E36FB8" w:rsidRPr="00036A76">
        <w:t>6</w:t>
      </w:r>
      <w:r w:rsidRPr="00036A76">
        <w:t>. godine donesen je Statut Fonda</w:t>
      </w:r>
      <w:r w:rsidR="009D7531" w:rsidRPr="00036A76">
        <w:t>, broj: SK-I-05a/2016, odnosno OPU</w:t>
      </w:r>
      <w:r w:rsidR="00A20ACF" w:rsidRPr="00036A76">
        <w:t xml:space="preserve">-693/2016, </w:t>
      </w:r>
      <w:r w:rsidRPr="00036A76">
        <w:t xml:space="preserve">usaglašen sa </w:t>
      </w:r>
      <w:r w:rsidR="00E36FB8" w:rsidRPr="00036A76">
        <w:t>Zakonom o investicionim fondovima</w:t>
      </w:r>
      <w:r w:rsidR="00BC1D7C" w:rsidRPr="00036A76">
        <w:t xml:space="preserve"> (“Službeni glasnik Republike Srpske, broj: 92/06 i 82/15), </w:t>
      </w:r>
      <w:r w:rsidR="00E36FB8" w:rsidRPr="00036A76">
        <w:t>Pravilnikom o preoblikovanju zatvorenog investicionog fonda</w:t>
      </w:r>
      <w:r w:rsidR="00BC1D7C" w:rsidRPr="00036A76">
        <w:t xml:space="preserve"> (“Službeni glasnik Republike Srpske”, broj: 108/15) </w:t>
      </w:r>
      <w:r w:rsidR="009D7531" w:rsidRPr="00036A76">
        <w:t>i Zaključkom Kom</w:t>
      </w:r>
      <w:r w:rsidR="00A13DA3" w:rsidRPr="00036A76">
        <w:t>isije</w:t>
      </w:r>
      <w:r w:rsidR="009D7531" w:rsidRPr="00036A76">
        <w:t xml:space="preserve"> broj: </w:t>
      </w:r>
      <w:r w:rsidR="00A20ACF" w:rsidRPr="00036A76">
        <w:t>05-UP-58-322-1/16 od 15</w:t>
      </w:r>
      <w:r w:rsidR="009D7531" w:rsidRPr="00036A76">
        <w:t>.06.2016. godine.</w:t>
      </w:r>
      <w:r w:rsidR="00E36FB8" w:rsidRPr="00036A76">
        <w:t xml:space="preserve"> </w:t>
      </w:r>
    </w:p>
    <w:p w:rsidR="000E73E8" w:rsidRPr="00036A76" w:rsidRDefault="000E73E8" w:rsidP="00685CE5">
      <w:pPr>
        <w:ind w:left="0" w:firstLine="0"/>
        <w:contextualSpacing/>
      </w:pPr>
    </w:p>
    <w:p w:rsidR="00590AAA" w:rsidRPr="00036A76" w:rsidRDefault="00590AAA" w:rsidP="00685CE5">
      <w:pPr>
        <w:ind w:left="0" w:firstLine="0"/>
        <w:contextualSpacing/>
        <w:rPr>
          <w:i/>
        </w:rPr>
      </w:pPr>
      <w:r w:rsidRPr="00036A76">
        <w:t>Na Skupštini akcionara Fonda, održanoj dana 24.04.2017. godine je usvojena Odluka o izmjenama i dopunama Statuta Fonda</w:t>
      </w:r>
      <w:r w:rsidR="00757A8C" w:rsidRPr="00036A76">
        <w:t xml:space="preserve"> </w:t>
      </w:r>
      <w:r w:rsidRPr="00036A76">
        <w:t>broj: SK-I-13</w:t>
      </w:r>
      <w:r w:rsidR="00757A8C" w:rsidRPr="00036A76">
        <w:t>/2017, kojom je izvršeno usklađ</w:t>
      </w:r>
      <w:r w:rsidRPr="00036A76">
        <w:t>ivanje visine osnovnog kapitala i broja akcija ZMIF-a u preoblikovanju nakon izdvajanja dijela imovine Fonda u OMIF, u skladu sa Odlukom o djelimičnom preoblikovanju Fonda broj:</w:t>
      </w:r>
      <w:r w:rsidR="00E3115E" w:rsidRPr="00036A76">
        <w:t>SK-I-06/2017, od 24.04.2017. godine</w:t>
      </w:r>
      <w:r w:rsidR="00E3115E" w:rsidRPr="00036A76">
        <w:rPr>
          <w:i/>
        </w:rPr>
        <w:t>.</w:t>
      </w:r>
    </w:p>
    <w:p w:rsidR="00432A42" w:rsidRPr="00036A76" w:rsidRDefault="00432A42" w:rsidP="00685CE5">
      <w:pPr>
        <w:ind w:left="0" w:firstLine="0"/>
        <w:contextualSpacing/>
        <w:rPr>
          <w:i/>
        </w:rPr>
      </w:pPr>
    </w:p>
    <w:p w:rsidR="00AD1718" w:rsidRPr="00036A76" w:rsidRDefault="00253417" w:rsidP="00685CE5">
      <w:pPr>
        <w:ind w:left="0" w:firstLine="0"/>
        <w:contextualSpacing/>
      </w:pPr>
      <w:r w:rsidRPr="00036A76">
        <w:rPr>
          <w:i/>
        </w:rPr>
        <w:t>19.2.1.</w:t>
      </w:r>
      <w:r w:rsidRPr="00036A76">
        <w:t xml:space="preserve"> </w:t>
      </w:r>
      <w:r w:rsidR="001B099E" w:rsidRPr="00036A76">
        <w:t>Djelatnost F</w:t>
      </w:r>
      <w:r w:rsidR="00AD1718" w:rsidRPr="00036A76">
        <w:t xml:space="preserve">onda je ulaganje u dugoročne i karatkoročne prenosive hartije od vrijednosti, novčane depozite, upravljanje akcionarskim društvima čije akcije Fond drži u svom portfelju, uz uvažavanje investicionih ciljeva i politike Fonda. </w:t>
      </w:r>
    </w:p>
    <w:p w:rsidR="00AD1718" w:rsidRPr="00036A76" w:rsidRDefault="00AD1718" w:rsidP="00685CE5">
      <w:pPr>
        <w:ind w:left="0" w:firstLine="0"/>
        <w:contextualSpacing/>
        <w:rPr>
          <w:lang w:val="sr-Latn-BA"/>
        </w:rPr>
      </w:pPr>
      <w:r w:rsidRPr="00036A76">
        <w:rPr>
          <w:lang w:val="sr-Latn-BA"/>
        </w:rPr>
        <w:t xml:space="preserve">Ovi poslovi su u klasifikaciji djelatnosti raspoređeni u podgrupu 64.30 - Trustovi, fondovi i slični </w:t>
      </w:r>
    </w:p>
    <w:p w:rsidR="00AD1718" w:rsidRPr="00036A76" w:rsidRDefault="00AD1718" w:rsidP="00685CE5">
      <w:pPr>
        <w:ind w:left="0" w:firstLine="0"/>
        <w:contextualSpacing/>
        <w:rPr>
          <w:lang w:val="sr-Latn-BA"/>
        </w:rPr>
      </w:pPr>
      <w:r w:rsidRPr="00036A76">
        <w:rPr>
          <w:lang w:val="sr-Latn-BA"/>
        </w:rPr>
        <w:t>fi</w:t>
      </w:r>
      <w:r w:rsidR="00BD62DE" w:rsidRPr="00036A76">
        <w:rPr>
          <w:lang w:val="sr-Latn-BA"/>
        </w:rPr>
        <w:t>nansijski subjekti. Djelatnost F</w:t>
      </w:r>
      <w:r w:rsidRPr="00036A76">
        <w:rPr>
          <w:lang w:val="sr-Latn-BA"/>
        </w:rPr>
        <w:t>onda je definisana članom 5. Statuta Fonda.</w:t>
      </w:r>
    </w:p>
    <w:p w:rsidR="000E73E8" w:rsidRPr="00036A76" w:rsidRDefault="000E73E8" w:rsidP="00685CE5">
      <w:pPr>
        <w:ind w:left="0" w:firstLine="0"/>
        <w:contextualSpacing/>
        <w:rPr>
          <w:lang w:val="sr-Latn-BA"/>
        </w:rPr>
      </w:pPr>
    </w:p>
    <w:p w:rsidR="00AD1718" w:rsidRPr="00036A76" w:rsidRDefault="00AD1718" w:rsidP="00F553CF">
      <w:pPr>
        <w:pStyle w:val="ListParagraph"/>
        <w:numPr>
          <w:ilvl w:val="2"/>
          <w:numId w:val="10"/>
        </w:numPr>
        <w:ind w:left="0" w:firstLine="0"/>
      </w:pPr>
      <w:r w:rsidRPr="00036A76">
        <w:t>Organi Fonda su</w:t>
      </w:r>
      <w:r w:rsidR="00C17E59" w:rsidRPr="00036A76">
        <w:t>:</w:t>
      </w:r>
      <w:r w:rsidR="00A05CA8" w:rsidRPr="00036A76">
        <w:t xml:space="preserve"> Skupština </w:t>
      </w:r>
      <w:r w:rsidRPr="00036A76">
        <w:t xml:space="preserve"> Fonda i Nadzorni odbor Fonda.</w:t>
      </w:r>
    </w:p>
    <w:p w:rsidR="00AD1718" w:rsidRPr="00036A76" w:rsidRDefault="00685F62" w:rsidP="00685CE5">
      <w:pPr>
        <w:ind w:left="0" w:firstLine="0"/>
        <w:contextualSpacing/>
      </w:pPr>
      <w:r w:rsidRPr="00036A76">
        <w:t>Od člana 22., zaključno sa članom 43.</w:t>
      </w:r>
      <w:r w:rsidR="00AD1718" w:rsidRPr="00036A76">
        <w:t xml:space="preserve"> Statuta Fonda regulisan je rad, nadležnost, kao i druga bitna pitanja vezana za navedene organe Fonda.</w:t>
      </w:r>
    </w:p>
    <w:p w:rsidR="00C87970" w:rsidRPr="00036A76" w:rsidRDefault="00C87970" w:rsidP="00685CE5">
      <w:pPr>
        <w:ind w:left="0" w:firstLine="0"/>
        <w:contextualSpacing/>
      </w:pPr>
    </w:p>
    <w:p w:rsidR="00C87970" w:rsidRPr="00036A76" w:rsidRDefault="00C87970" w:rsidP="00685CE5">
      <w:pPr>
        <w:ind w:left="0" w:firstLine="0"/>
        <w:contextualSpacing/>
      </w:pPr>
      <w:r w:rsidRPr="00036A76">
        <w:t>Izvršene promene na kapitalu</w:t>
      </w:r>
    </w:p>
    <w:p w:rsidR="000E73E8" w:rsidRPr="00036A76" w:rsidRDefault="000E73E8" w:rsidP="00685CE5">
      <w:pPr>
        <w:ind w:left="0" w:firstLine="0"/>
        <w:contextualSpacing/>
      </w:pPr>
    </w:p>
    <w:p w:rsidR="004A6A9B" w:rsidRPr="00036A76" w:rsidRDefault="00AD1718" w:rsidP="00F553CF">
      <w:pPr>
        <w:pStyle w:val="ListParagraph"/>
        <w:numPr>
          <w:ilvl w:val="2"/>
          <w:numId w:val="10"/>
        </w:numPr>
        <w:ind w:left="0" w:firstLine="0"/>
      </w:pPr>
      <w:r w:rsidRPr="00036A76">
        <w:t xml:space="preserve">Osnovni kapital Fonda </w:t>
      </w:r>
      <w:r w:rsidR="0055600C" w:rsidRPr="00036A76">
        <w:t xml:space="preserve">iznosi 134.760.199,00 KM i </w:t>
      </w:r>
      <w:r w:rsidRPr="00036A76">
        <w:t xml:space="preserve">podijeljen je na </w:t>
      </w:r>
      <w:r w:rsidR="0055600C" w:rsidRPr="00036A76">
        <w:t>134.769199</w:t>
      </w:r>
      <w:r w:rsidR="00685F62" w:rsidRPr="00036A76">
        <w:t xml:space="preserve"> akcija,</w:t>
      </w:r>
      <w:r w:rsidRPr="00036A76">
        <w:t xml:space="preserve"> nominaln</w:t>
      </w:r>
      <w:r w:rsidR="00685F62" w:rsidRPr="00036A76">
        <w:t>e vrijednosti 1,00 KM i nose oznaku serije A</w:t>
      </w:r>
      <w:r w:rsidRPr="00036A76">
        <w:t>.</w:t>
      </w:r>
    </w:p>
    <w:p w:rsidR="00C33915" w:rsidRPr="00036A76" w:rsidRDefault="00685CE5" w:rsidP="00F553CF">
      <w:pPr>
        <w:pStyle w:val="ListParagraph"/>
        <w:numPr>
          <w:ilvl w:val="2"/>
          <w:numId w:val="10"/>
        </w:numPr>
        <w:ind w:left="0" w:firstLine="0"/>
      </w:pPr>
      <w:r w:rsidRPr="00036A76">
        <w:lastRenderedPageBreak/>
        <w:t xml:space="preserve"> </w:t>
      </w:r>
      <w:r w:rsidR="00A05CA8" w:rsidRPr="00036A76">
        <w:rPr>
          <w:lang w:val="sr-Latn-BA"/>
        </w:rPr>
        <w:t>Akcije F</w:t>
      </w:r>
      <w:r w:rsidR="00C33915" w:rsidRPr="00036A76">
        <w:rPr>
          <w:lang w:val="sr-Latn-BA"/>
        </w:rPr>
        <w:t>onda su obične ili redovne, glase na ime, iste su vrste, nose ista prava i prenosive su bez ograničenja.</w:t>
      </w:r>
      <w:r w:rsidRPr="00036A76">
        <w:rPr>
          <w:lang w:val="sr-Latn-BA"/>
        </w:rPr>
        <w:t xml:space="preserve"> </w:t>
      </w:r>
      <w:r w:rsidR="001B099E" w:rsidRPr="00036A76">
        <w:rPr>
          <w:lang w:val="sr-Latn-BA"/>
        </w:rPr>
        <w:t>Akcije F</w:t>
      </w:r>
      <w:r w:rsidR="00C33915" w:rsidRPr="00036A76">
        <w:rPr>
          <w:lang w:val="sr-Latn-BA"/>
        </w:rPr>
        <w:t>onda su nematerijalne hartije od vrijednosti, i vode se u obliku elektronskog zapisa na računima emitenata, u Centralnom registru hartija od vrijednosti.</w:t>
      </w:r>
      <w:r w:rsidRPr="00036A76">
        <w:rPr>
          <w:lang w:val="sr-Latn-BA"/>
        </w:rPr>
        <w:t xml:space="preserve"> </w:t>
      </w:r>
      <w:r w:rsidR="00AD1718" w:rsidRPr="00036A76">
        <w:t>Akcionari F</w:t>
      </w:r>
      <w:r w:rsidR="00685F62" w:rsidRPr="00036A76">
        <w:t xml:space="preserve">onda stiču pravo raspolaganja </w:t>
      </w:r>
      <w:r w:rsidR="00AD1718" w:rsidRPr="00036A76">
        <w:t xml:space="preserve">akcijama </w:t>
      </w:r>
      <w:r w:rsidR="00685F62" w:rsidRPr="00036A76">
        <w:t xml:space="preserve">Fonda njihovim registrovanjem u </w:t>
      </w:r>
      <w:r w:rsidR="00AD1718" w:rsidRPr="00036A76">
        <w:t>Centralnom registru hartija od vrijednosti, koji otvara račune vlasnika i izdaje potvrde o broju i nominalnoj vrijednosti akcija svakog akcionara.</w:t>
      </w:r>
      <w:r w:rsidRPr="00036A76">
        <w:t xml:space="preserve"> </w:t>
      </w:r>
      <w:r w:rsidR="00BD62DE" w:rsidRPr="00036A76">
        <w:rPr>
          <w:lang w:val="sr-Latn-BA"/>
        </w:rPr>
        <w:t>Akcionari F</w:t>
      </w:r>
      <w:r w:rsidR="00C33915" w:rsidRPr="00036A76">
        <w:rPr>
          <w:lang w:val="sr-Latn-BA"/>
        </w:rPr>
        <w:t>on</w:t>
      </w:r>
      <w:r w:rsidR="00FD7E99" w:rsidRPr="00036A76">
        <w:rPr>
          <w:lang w:val="sr-Latn-BA"/>
        </w:rPr>
        <w:t>da imaju, srazmjerno broju</w:t>
      </w:r>
      <w:r w:rsidR="00BD62DE" w:rsidRPr="00036A76">
        <w:rPr>
          <w:lang w:val="sr-Latn-BA"/>
        </w:rPr>
        <w:t xml:space="preserve"> akcija koje posjeduju u F</w:t>
      </w:r>
      <w:r w:rsidR="00C33915" w:rsidRPr="00036A76">
        <w:rPr>
          <w:lang w:val="sr-Latn-BA"/>
        </w:rPr>
        <w:t>ondu, ista prava koja uključuju.</w:t>
      </w:r>
    </w:p>
    <w:p w:rsidR="00C33915" w:rsidRPr="00036A76" w:rsidRDefault="00C33915" w:rsidP="00F553CF">
      <w:pPr>
        <w:pStyle w:val="ListParagraph"/>
        <w:numPr>
          <w:ilvl w:val="0"/>
          <w:numId w:val="1"/>
        </w:numPr>
        <w:rPr>
          <w:lang w:val="sr-Latn-BA"/>
        </w:rPr>
      </w:pPr>
      <w:r w:rsidRPr="00036A76">
        <w:rPr>
          <w:lang w:val="sr-Latn-BA"/>
        </w:rPr>
        <w:t>Pravo pristupa pravnim aktima i drug</w:t>
      </w:r>
      <w:r w:rsidR="001B099E" w:rsidRPr="00036A76">
        <w:rPr>
          <w:lang w:val="sr-Latn-BA"/>
        </w:rPr>
        <w:t>im dokumentima Fonda, kao i informacije o F</w:t>
      </w:r>
      <w:r w:rsidRPr="00036A76">
        <w:rPr>
          <w:lang w:val="sr-Latn-BA"/>
        </w:rPr>
        <w:t>ondu,</w:t>
      </w:r>
      <w:r w:rsidR="009210F3" w:rsidRPr="00036A76">
        <w:rPr>
          <w:lang w:val="sr-Latn-BA"/>
        </w:rPr>
        <w:t xml:space="preserve"> Društvo </w:t>
      </w:r>
      <w:r w:rsidR="00647E3C" w:rsidRPr="00036A76">
        <w:rPr>
          <w:lang w:val="sr-Latn-BA"/>
        </w:rPr>
        <w:t xml:space="preserve">za upravljanje </w:t>
      </w:r>
      <w:r w:rsidR="009210F3" w:rsidRPr="00036A76">
        <w:rPr>
          <w:lang w:val="sr-Latn-BA"/>
        </w:rPr>
        <w:t>je obavezno da svakog mjeseca na svojoj web strani i u jednim dnevnim novinama, koje izlaze na teritoriji cijele Republike Srpske, objavl</w:t>
      </w:r>
      <w:r w:rsidR="001B099E" w:rsidRPr="00036A76">
        <w:rPr>
          <w:lang w:val="sr-Latn-BA"/>
        </w:rPr>
        <w:t>juje izvještaje o neto imovini F</w:t>
      </w:r>
      <w:r w:rsidR="009210F3" w:rsidRPr="00036A76">
        <w:rPr>
          <w:lang w:val="sr-Latn-BA"/>
        </w:rPr>
        <w:t>onda.</w:t>
      </w:r>
      <w:r w:rsidR="001B099E" w:rsidRPr="00036A76">
        <w:rPr>
          <w:lang w:val="sr-Latn-BA"/>
        </w:rPr>
        <w:t xml:space="preserve"> Akcionar F</w:t>
      </w:r>
      <w:r w:rsidR="00A93F93" w:rsidRPr="00036A76">
        <w:rPr>
          <w:lang w:val="sr-Latn-BA"/>
        </w:rPr>
        <w:t>onda ima pravo</w:t>
      </w:r>
      <w:r w:rsidR="001B099E" w:rsidRPr="00036A76">
        <w:rPr>
          <w:lang w:val="sr-Latn-BA"/>
        </w:rPr>
        <w:t xml:space="preserve"> da bude obaviješten o radu F</w:t>
      </w:r>
      <w:r w:rsidR="00A93F93" w:rsidRPr="00036A76">
        <w:rPr>
          <w:lang w:val="sr-Latn-BA"/>
        </w:rPr>
        <w:t>onda, putem finansijskih izvještaja.</w:t>
      </w:r>
    </w:p>
    <w:p w:rsidR="00C33915" w:rsidRPr="00036A76" w:rsidRDefault="00647E3C" w:rsidP="00647E3C">
      <w:pPr>
        <w:pStyle w:val="ListParagraph"/>
        <w:numPr>
          <w:ilvl w:val="0"/>
          <w:numId w:val="1"/>
        </w:numPr>
        <w:rPr>
          <w:lang w:val="sr-Latn-BA"/>
        </w:rPr>
      </w:pPr>
      <w:r w:rsidRPr="00036A76">
        <w:rPr>
          <w:lang w:val="sr-Latn-BA"/>
        </w:rPr>
        <w:t>Pravo učešća u radu S</w:t>
      </w:r>
      <w:r w:rsidR="001B099E" w:rsidRPr="00036A76">
        <w:rPr>
          <w:lang w:val="sr-Latn-BA"/>
        </w:rPr>
        <w:t>kupštine F</w:t>
      </w:r>
      <w:r w:rsidR="00C33915" w:rsidRPr="00036A76">
        <w:rPr>
          <w:lang w:val="sr-Latn-BA"/>
        </w:rPr>
        <w:t>ond</w:t>
      </w:r>
      <w:r w:rsidRPr="00036A76">
        <w:rPr>
          <w:lang w:val="sr-Latn-BA"/>
        </w:rPr>
        <w:t>a, sa pravom glasa u S</w:t>
      </w:r>
      <w:r w:rsidR="001B099E" w:rsidRPr="00036A76">
        <w:rPr>
          <w:lang w:val="sr-Latn-BA"/>
        </w:rPr>
        <w:t>kupštini F</w:t>
      </w:r>
      <w:r w:rsidR="00C33915" w:rsidRPr="00036A76">
        <w:rPr>
          <w:lang w:val="sr-Latn-BA"/>
        </w:rPr>
        <w:t>onda, tako da jedna akcija uvijek daje pravo na jedan glas</w:t>
      </w:r>
      <w:r w:rsidR="001B099E" w:rsidRPr="00036A76">
        <w:rPr>
          <w:lang w:val="sr-Latn-BA"/>
        </w:rPr>
        <w:t>. Akcionar F</w:t>
      </w:r>
      <w:r w:rsidR="009210F3" w:rsidRPr="00036A76">
        <w:rPr>
          <w:lang w:val="sr-Latn-BA"/>
        </w:rPr>
        <w:t>onda može, putem pismene punomoći ovlastiti drugo lice da ga zastupa, i da u n</w:t>
      </w:r>
      <w:r w:rsidRPr="00036A76">
        <w:rPr>
          <w:lang w:val="sr-Latn-BA"/>
        </w:rPr>
        <w:t>jegovo ime glasa  na S</w:t>
      </w:r>
      <w:r w:rsidR="001B099E" w:rsidRPr="00036A76">
        <w:rPr>
          <w:lang w:val="sr-Latn-BA"/>
        </w:rPr>
        <w:t>kupštini F</w:t>
      </w:r>
      <w:r w:rsidR="009210F3" w:rsidRPr="00036A76">
        <w:rPr>
          <w:lang w:val="sr-Latn-BA"/>
        </w:rPr>
        <w:t>onda.Više akcionara mogu ovlastiti jedno lice da ih zastup</w:t>
      </w:r>
      <w:r w:rsidRPr="00036A76">
        <w:rPr>
          <w:lang w:val="sr-Latn-BA"/>
        </w:rPr>
        <w:t>a, i da u njihovo ime glasa na Skupštini F</w:t>
      </w:r>
      <w:r w:rsidR="009210F3" w:rsidRPr="00036A76">
        <w:rPr>
          <w:lang w:val="sr-Latn-BA"/>
        </w:rPr>
        <w:t>onda. Punomoć proizvodi pravna dejstva sve do njenog opoziva.</w:t>
      </w:r>
    </w:p>
    <w:p w:rsidR="00C33915" w:rsidRPr="00036A76" w:rsidRDefault="00C33915" w:rsidP="00647E3C">
      <w:pPr>
        <w:pStyle w:val="ListParagraph"/>
        <w:numPr>
          <w:ilvl w:val="0"/>
          <w:numId w:val="1"/>
        </w:numPr>
        <w:rPr>
          <w:lang w:val="sr-Latn-BA"/>
        </w:rPr>
      </w:pPr>
      <w:r w:rsidRPr="00036A76">
        <w:rPr>
          <w:lang w:val="sr-Latn-BA"/>
        </w:rPr>
        <w:t>Pravo učešća u raspodjeli likvidacionog v</w:t>
      </w:r>
      <w:r w:rsidR="001B099E" w:rsidRPr="00036A76">
        <w:rPr>
          <w:lang w:val="sr-Latn-BA"/>
        </w:rPr>
        <w:t>iška, po završenoj likvidaciji Fonda nakon isplate povjerilaca F</w:t>
      </w:r>
      <w:r w:rsidRPr="00036A76">
        <w:rPr>
          <w:lang w:val="sr-Latn-BA"/>
        </w:rPr>
        <w:t>onda,</w:t>
      </w:r>
      <w:r w:rsidR="009210F3" w:rsidRPr="00036A76">
        <w:rPr>
          <w:lang w:val="sr-Latn-BA"/>
        </w:rPr>
        <w:t xml:space="preserve"> Fond može bit</w:t>
      </w:r>
      <w:r w:rsidR="00647E3C" w:rsidRPr="00036A76">
        <w:rPr>
          <w:lang w:val="sr-Latn-BA"/>
        </w:rPr>
        <w:t>i likvidiran odlukom S</w:t>
      </w:r>
      <w:r w:rsidR="001B099E" w:rsidRPr="00036A76">
        <w:rPr>
          <w:lang w:val="sr-Latn-BA"/>
        </w:rPr>
        <w:t>kupštine F</w:t>
      </w:r>
      <w:r w:rsidR="00647E3C" w:rsidRPr="00036A76">
        <w:rPr>
          <w:lang w:val="sr-Latn-BA"/>
        </w:rPr>
        <w:t>onda.</w:t>
      </w:r>
      <w:r w:rsidR="00A93F93" w:rsidRPr="00036A76">
        <w:rPr>
          <w:lang w:val="sr-Latn-BA"/>
        </w:rPr>
        <w:t xml:space="preserve"> </w:t>
      </w:r>
      <w:r w:rsidR="001B099E" w:rsidRPr="00036A76">
        <w:rPr>
          <w:lang w:val="sr-Latn-BA"/>
        </w:rPr>
        <w:t>Skupština F</w:t>
      </w:r>
      <w:r w:rsidR="009210F3" w:rsidRPr="00036A76">
        <w:rPr>
          <w:lang w:val="sr-Latn-BA"/>
        </w:rPr>
        <w:t>on</w:t>
      </w:r>
      <w:r w:rsidR="001B099E" w:rsidRPr="00036A76">
        <w:rPr>
          <w:lang w:val="sr-Latn-BA"/>
        </w:rPr>
        <w:t>da donosi odluku o likvidaciji F</w:t>
      </w:r>
      <w:r w:rsidR="009210F3" w:rsidRPr="00036A76">
        <w:rPr>
          <w:lang w:val="sr-Latn-BA"/>
        </w:rPr>
        <w:t>onda, glasovima koji predstavljaju najmanje tri četvrtine osnovnog kapi</w:t>
      </w:r>
      <w:r w:rsidR="00647E3C" w:rsidRPr="00036A76">
        <w:rPr>
          <w:lang w:val="sr-Latn-BA"/>
        </w:rPr>
        <w:t>tala akcionara zastupljenih na Skupštini F</w:t>
      </w:r>
      <w:r w:rsidR="009210F3" w:rsidRPr="00036A76">
        <w:rPr>
          <w:lang w:val="sr-Latn-BA"/>
        </w:rPr>
        <w:t>onda.</w:t>
      </w:r>
      <w:r w:rsidR="00A93F93" w:rsidRPr="00036A76">
        <w:rPr>
          <w:lang w:val="sr-Latn-BA"/>
        </w:rPr>
        <w:t xml:space="preserve"> </w:t>
      </w:r>
      <w:r w:rsidR="009210F3" w:rsidRPr="00036A76">
        <w:rPr>
          <w:lang w:val="sr-Latn-BA"/>
        </w:rPr>
        <w:t>Prij</w:t>
      </w:r>
      <w:r w:rsidR="00A05CA8" w:rsidRPr="00036A76">
        <w:rPr>
          <w:lang w:val="sr-Latn-BA"/>
        </w:rPr>
        <w:t>edlog za likvidaciju F</w:t>
      </w:r>
      <w:r w:rsidR="009210F3" w:rsidRPr="00036A76">
        <w:rPr>
          <w:lang w:val="sr-Latn-BA"/>
        </w:rPr>
        <w:t>onda mogu po</w:t>
      </w:r>
      <w:r w:rsidR="001B099E" w:rsidRPr="00036A76">
        <w:rPr>
          <w:lang w:val="sr-Latn-BA"/>
        </w:rPr>
        <w:t xml:space="preserve">dnijeti </w:t>
      </w:r>
      <w:r w:rsidR="00BD62DE" w:rsidRPr="00036A76">
        <w:rPr>
          <w:lang w:val="sr-Latn-BA"/>
        </w:rPr>
        <w:t>Društvo za upravljanje Fondom, N</w:t>
      </w:r>
      <w:r w:rsidR="001B099E" w:rsidRPr="00036A76">
        <w:rPr>
          <w:lang w:val="sr-Latn-BA"/>
        </w:rPr>
        <w:t>adzorni odbor Fonda i banka depozitar F</w:t>
      </w:r>
      <w:r w:rsidR="009210F3" w:rsidRPr="00036A76">
        <w:rPr>
          <w:lang w:val="sr-Latn-BA"/>
        </w:rPr>
        <w:t>onda.</w:t>
      </w:r>
      <w:r w:rsidR="00A93F93" w:rsidRPr="00036A76">
        <w:rPr>
          <w:lang w:val="sr-Latn-BA"/>
        </w:rPr>
        <w:t xml:space="preserve"> </w:t>
      </w:r>
      <w:r w:rsidR="001B099E" w:rsidRPr="00036A76">
        <w:rPr>
          <w:lang w:val="sr-Latn-BA"/>
        </w:rPr>
        <w:t>Likvidaciju F</w:t>
      </w:r>
      <w:r w:rsidR="00647E3C" w:rsidRPr="00036A76">
        <w:rPr>
          <w:lang w:val="sr-Latn-BA"/>
        </w:rPr>
        <w:t>onda vrši nadležni S</w:t>
      </w:r>
      <w:r w:rsidR="009210F3" w:rsidRPr="00036A76">
        <w:rPr>
          <w:lang w:val="sr-Latn-BA"/>
        </w:rPr>
        <w:t>ud, po postupku pre</w:t>
      </w:r>
      <w:r w:rsidR="00647E3C" w:rsidRPr="00036A76">
        <w:rPr>
          <w:lang w:val="sr-Latn-BA"/>
        </w:rPr>
        <w:t>dviđenim Zakonom i</w:t>
      </w:r>
    </w:p>
    <w:p w:rsidR="00C33915" w:rsidRPr="00036A76" w:rsidRDefault="00C33915" w:rsidP="00F553CF">
      <w:pPr>
        <w:pStyle w:val="ListParagraph"/>
        <w:numPr>
          <w:ilvl w:val="0"/>
          <w:numId w:val="1"/>
        </w:numPr>
        <w:rPr>
          <w:lang w:val="sr-Latn-BA"/>
        </w:rPr>
      </w:pPr>
      <w:r w:rsidRPr="00036A76">
        <w:rPr>
          <w:lang w:val="sr-Latn-BA"/>
        </w:rPr>
        <w:t>Pravo raspolaganja a</w:t>
      </w:r>
      <w:r w:rsidR="00647E3C" w:rsidRPr="00036A76">
        <w:rPr>
          <w:lang w:val="sr-Latn-BA"/>
        </w:rPr>
        <w:t>kcijama svih vrsta u skladu sa Z</w:t>
      </w:r>
      <w:r w:rsidRPr="00036A76">
        <w:rPr>
          <w:lang w:val="sr-Latn-BA"/>
        </w:rPr>
        <w:t>akonom.</w:t>
      </w:r>
    </w:p>
    <w:p w:rsidR="000E73E8" w:rsidRPr="00036A76" w:rsidRDefault="000E73E8" w:rsidP="000E73E8">
      <w:pPr>
        <w:pStyle w:val="ListParagraph"/>
        <w:ind w:firstLine="0"/>
        <w:rPr>
          <w:lang w:val="sr-Latn-BA"/>
        </w:rPr>
      </w:pPr>
    </w:p>
    <w:p w:rsidR="009210F3" w:rsidRPr="00036A76" w:rsidRDefault="009210F3" w:rsidP="00F553CF">
      <w:pPr>
        <w:pStyle w:val="ListParagraph"/>
        <w:numPr>
          <w:ilvl w:val="2"/>
          <w:numId w:val="10"/>
        </w:numPr>
        <w:ind w:left="0" w:firstLine="0"/>
      </w:pPr>
      <w:r w:rsidRPr="00036A76">
        <w:t>Statut Fonda nema odredbe koje regulišu promjenu prava imalaca akcija.</w:t>
      </w:r>
    </w:p>
    <w:p w:rsidR="000E73E8" w:rsidRPr="00036A76" w:rsidRDefault="000E73E8" w:rsidP="000E73E8">
      <w:pPr>
        <w:pStyle w:val="ListParagraph"/>
        <w:ind w:left="0" w:firstLine="0"/>
      </w:pPr>
    </w:p>
    <w:p w:rsidR="000D21FA" w:rsidRPr="00036A76" w:rsidRDefault="009210F3" w:rsidP="00F553CF">
      <w:pPr>
        <w:pStyle w:val="ListParagraph"/>
        <w:numPr>
          <w:ilvl w:val="2"/>
          <w:numId w:val="10"/>
        </w:numPr>
        <w:ind w:left="0" w:firstLine="0"/>
      </w:pPr>
      <w:r w:rsidRPr="00036A76">
        <w:t xml:space="preserve">Skupštinu </w:t>
      </w:r>
      <w:r w:rsidR="00647E3C" w:rsidRPr="00036A76">
        <w:t xml:space="preserve">Fonda </w:t>
      </w:r>
      <w:r w:rsidRPr="00036A76">
        <w:t xml:space="preserve">saziva Upravni odbor Društva </w:t>
      </w:r>
      <w:r w:rsidR="000D21FA" w:rsidRPr="00036A76">
        <w:t xml:space="preserve">za upravljanje </w:t>
      </w:r>
      <w:r w:rsidRPr="00036A76">
        <w:t>najmanje jednom godišnje, a po potrebi više puta kada to zahtijevaju interesi Fonda.</w:t>
      </w:r>
      <w:r w:rsidR="00A93F93" w:rsidRPr="00036A76">
        <w:t xml:space="preserve"> </w:t>
      </w:r>
    </w:p>
    <w:p w:rsidR="000D21FA" w:rsidRPr="00036A76" w:rsidRDefault="000D21FA" w:rsidP="000D21FA">
      <w:pPr>
        <w:pStyle w:val="ListParagraph"/>
        <w:rPr>
          <w:noProof/>
          <w:lang w:val="sr-Latn-BA"/>
        </w:rPr>
      </w:pPr>
    </w:p>
    <w:p w:rsidR="00EB7F17" w:rsidRPr="00036A76" w:rsidRDefault="009210F3" w:rsidP="00F553CF">
      <w:pPr>
        <w:pStyle w:val="ListParagraph"/>
        <w:numPr>
          <w:ilvl w:val="2"/>
          <w:numId w:val="10"/>
        </w:numPr>
        <w:ind w:left="0" w:firstLine="0"/>
      </w:pPr>
      <w:r w:rsidRPr="00036A76">
        <w:rPr>
          <w:noProof/>
          <w:lang w:val="sr-Latn-BA"/>
        </w:rPr>
        <w:t>Skupština</w:t>
      </w:r>
      <w:r w:rsidR="000D21FA" w:rsidRPr="00036A76">
        <w:rPr>
          <w:noProof/>
          <w:lang w:val="sr-Latn-BA"/>
        </w:rPr>
        <w:t>Fonda</w:t>
      </w:r>
      <w:r w:rsidRPr="00036A76">
        <w:rPr>
          <w:noProof/>
          <w:lang w:val="sr-Latn-BA"/>
        </w:rPr>
        <w:t xml:space="preserve"> se održava u sjedištu Fonda, osim ako Upravni odbor Društva </w:t>
      </w:r>
      <w:r w:rsidR="000D21FA" w:rsidRPr="00036A76">
        <w:rPr>
          <w:noProof/>
          <w:lang w:val="sr-Latn-BA"/>
        </w:rPr>
        <w:t xml:space="preserve">za upravljanje </w:t>
      </w:r>
      <w:r w:rsidRPr="00036A76">
        <w:rPr>
          <w:noProof/>
          <w:lang w:val="sr-Latn-BA"/>
        </w:rPr>
        <w:t xml:space="preserve">svojom odlukom ne odredi drugo mjesto održavanja Skupštine Fonda. </w:t>
      </w:r>
      <w:r w:rsidRPr="00036A76">
        <w:t xml:space="preserve">Skupština </w:t>
      </w:r>
      <w:r w:rsidR="000D21FA" w:rsidRPr="00036A76">
        <w:t xml:space="preserve">Fonda </w:t>
      </w:r>
      <w:r w:rsidRPr="00036A76">
        <w:t>se sastaje kao redovna i vanredna.</w:t>
      </w:r>
      <w:r w:rsidR="00A93F93" w:rsidRPr="00036A76">
        <w:t xml:space="preserve"> </w:t>
      </w:r>
      <w:r w:rsidRPr="00036A76">
        <w:t xml:space="preserve">Na postupak sazivanja i održavanja Skupštine </w:t>
      </w:r>
      <w:r w:rsidR="000D21FA" w:rsidRPr="00036A76">
        <w:t xml:space="preserve">Fonda </w:t>
      </w:r>
      <w:r w:rsidRPr="00036A76">
        <w:t>po pisanom  zahtjevu akcionara Fonda</w:t>
      </w:r>
      <w:r w:rsidR="004347DF" w:rsidRPr="00036A76">
        <w:t>,</w:t>
      </w:r>
      <w:r w:rsidRPr="00036A76">
        <w:t xml:space="preserve"> sa najmanje 10% akcija sa pravom glasa</w:t>
      </w:r>
      <w:r w:rsidR="004347DF" w:rsidRPr="00036A76">
        <w:t>,</w:t>
      </w:r>
      <w:r w:rsidR="00621EE0" w:rsidRPr="00036A76">
        <w:t xml:space="preserve"> primjenjuju se odredbe Z</w:t>
      </w:r>
      <w:r w:rsidRPr="00036A76">
        <w:t>akona.</w:t>
      </w:r>
      <w:r w:rsidR="00A93F93" w:rsidRPr="00036A76">
        <w:t xml:space="preserve"> </w:t>
      </w:r>
    </w:p>
    <w:p w:rsidR="00EB7F17" w:rsidRPr="00036A76" w:rsidRDefault="00621EE0" w:rsidP="00EB7F17">
      <w:pPr>
        <w:pStyle w:val="ListParagraph"/>
        <w:ind w:left="0" w:firstLine="0"/>
      </w:pPr>
      <w:r w:rsidRPr="00036A76">
        <w:t>Poziv za Skupštinu Fonda objavljuje se</w:t>
      </w:r>
      <w:r w:rsidR="009210F3" w:rsidRPr="00036A76">
        <w:t xml:space="preserve"> na internet stranici Banjalučke berze</w:t>
      </w:r>
      <w:r w:rsidRPr="00036A76">
        <w:t>,</w:t>
      </w:r>
      <w:r w:rsidR="009210F3" w:rsidRPr="00036A76">
        <w:t xml:space="preserve"> u vreme</w:t>
      </w:r>
      <w:r w:rsidRPr="00036A76">
        <w:t>nskom periodu koji je propisan Z</w:t>
      </w:r>
      <w:r w:rsidR="009210F3" w:rsidRPr="00036A76">
        <w:t>akonom</w:t>
      </w:r>
      <w:r w:rsidRPr="00036A76">
        <w:t>,</w:t>
      </w:r>
      <w:r w:rsidR="009210F3" w:rsidRPr="00036A76">
        <w:t xml:space="preserve"> i u najmanje dva dnevna lista registrovana na području Republike Srpske</w:t>
      </w:r>
      <w:r w:rsidRPr="00036A76">
        <w:t>,</w:t>
      </w:r>
      <w:r w:rsidR="009210F3" w:rsidRPr="00036A76">
        <w:t xml:space="preserve"> gdje se objavljuje u zakonom propisanom roku, a uz to poziv se objavljuje i na internet stranici Društva</w:t>
      </w:r>
      <w:r w:rsidRPr="00036A76">
        <w:t xml:space="preserve"> za upravljanje.</w:t>
      </w:r>
      <w:r w:rsidR="009210F3" w:rsidRPr="00036A76">
        <w:t>.</w:t>
      </w:r>
      <w:r w:rsidR="00A93F93" w:rsidRPr="00036A76">
        <w:t xml:space="preserve"> </w:t>
      </w:r>
    </w:p>
    <w:p w:rsidR="009210F3" w:rsidRPr="00036A76" w:rsidRDefault="00621EE0" w:rsidP="00EB7F17">
      <w:pPr>
        <w:pStyle w:val="ListParagraph"/>
        <w:ind w:left="0" w:firstLine="0"/>
      </w:pPr>
      <w:r w:rsidRPr="00036A76">
        <w:t xml:space="preserve">Poziv za Skupštinu </w:t>
      </w:r>
      <w:r w:rsidR="009210F3" w:rsidRPr="00036A76">
        <w:t>F</w:t>
      </w:r>
      <w:r w:rsidR="00BD66B1" w:rsidRPr="00036A76">
        <w:t>onda sadrži elemente propisane Zakonom i podzakonskim aktima</w:t>
      </w:r>
      <w:r w:rsidR="009210F3" w:rsidRPr="00036A76">
        <w:t>.</w:t>
      </w:r>
      <w:r w:rsidR="00A93F93" w:rsidRPr="00036A76">
        <w:t xml:space="preserve"> </w:t>
      </w:r>
      <w:r w:rsidR="009210F3" w:rsidRPr="00036A76">
        <w:t>Na sazivanje, održavanje i</w:t>
      </w:r>
      <w:r w:rsidR="00BD66B1" w:rsidRPr="00036A76">
        <w:t xml:space="preserve"> odlučivanje Skupštine</w:t>
      </w:r>
      <w:r w:rsidR="009210F3" w:rsidRPr="00036A76">
        <w:t xml:space="preserve"> Fonda primjenjuju se odredbe Zakona o investicionim Fondovima i</w:t>
      </w:r>
      <w:r w:rsidR="00324931" w:rsidRPr="00036A76">
        <w:t xml:space="preserve"> Zakona o privrednim društvima.</w:t>
      </w:r>
    </w:p>
    <w:p w:rsidR="00EB7F17" w:rsidRPr="00036A76" w:rsidRDefault="00A05CA8" w:rsidP="00A93F93">
      <w:pPr>
        <w:pStyle w:val="ListParagraph"/>
        <w:ind w:left="0" w:firstLine="0"/>
      </w:pPr>
      <w:r w:rsidRPr="00036A76">
        <w:t>Skupština</w:t>
      </w:r>
      <w:r w:rsidR="009210F3" w:rsidRPr="00036A76">
        <w:t xml:space="preserve"> Fonda može valjano odlučivati ako su na njoj zastupljeni glasovi koji predstavljaju najmanje 30% osnovnog kapitala Fonda.</w:t>
      </w:r>
    </w:p>
    <w:p w:rsidR="00E14E05" w:rsidRPr="00036A76" w:rsidRDefault="00BD66B1" w:rsidP="00E14E05">
      <w:pPr>
        <w:autoSpaceDE w:val="0"/>
        <w:autoSpaceDN w:val="0"/>
        <w:adjustRightInd w:val="0"/>
        <w:ind w:left="0" w:firstLine="0"/>
      </w:pPr>
      <w:r w:rsidRPr="00036A76">
        <w:lastRenderedPageBreak/>
        <w:t>Ponovljena glavna S</w:t>
      </w:r>
      <w:r w:rsidR="00E14E05" w:rsidRPr="00036A76">
        <w:t xml:space="preserve">kupština </w:t>
      </w:r>
      <w:r w:rsidRPr="00036A76">
        <w:t xml:space="preserve">Fonda </w:t>
      </w:r>
      <w:r w:rsidR="00E14E05" w:rsidRPr="00036A76">
        <w:t>može valjano odlučivati glasovima prisutnih i predstavljenih akcionara, bez obzira na broj prisutnih i predstavljenih akcionara i broj glasova koje imaju.</w:t>
      </w:r>
    </w:p>
    <w:p w:rsidR="009210F3" w:rsidRPr="00036A76" w:rsidRDefault="009210F3" w:rsidP="00EB7F17">
      <w:pPr>
        <w:pStyle w:val="ListParagraph"/>
        <w:ind w:left="0" w:firstLine="0"/>
      </w:pPr>
      <w:r w:rsidRPr="00036A76">
        <w:t>Akci</w:t>
      </w:r>
      <w:r w:rsidR="00A93F93" w:rsidRPr="00036A76">
        <w:t xml:space="preserve">onar </w:t>
      </w:r>
      <w:r w:rsidR="00BD66B1" w:rsidRPr="00036A76">
        <w:t xml:space="preserve">Fonda </w:t>
      </w:r>
      <w:r w:rsidR="00A93F93" w:rsidRPr="00036A76">
        <w:t xml:space="preserve">u odsutnosti može glasati </w:t>
      </w:r>
      <w:r w:rsidRPr="00036A76">
        <w:t>pismenim putem.</w:t>
      </w:r>
      <w:r w:rsidR="00A93F93" w:rsidRPr="00036A76">
        <w:t xml:space="preserve"> </w:t>
      </w:r>
      <w:r w:rsidRPr="00036A76">
        <w:t xml:space="preserve">Pravo glasa na Skupštini </w:t>
      </w:r>
      <w:r w:rsidR="00BD66B1" w:rsidRPr="00036A76">
        <w:t xml:space="preserve">Fonda </w:t>
      </w:r>
      <w:r w:rsidRPr="00036A76">
        <w:t>ostvaruje se srazmjerno nominalnoj vrijednosti akcija u osnovnom kapitalu Fonda.</w:t>
      </w:r>
      <w:r w:rsidR="00A93F93" w:rsidRPr="00036A76">
        <w:t xml:space="preserve"> </w:t>
      </w:r>
      <w:r w:rsidRPr="00036A76">
        <w:t xml:space="preserve">Glasanje na Skupštini </w:t>
      </w:r>
      <w:r w:rsidR="00BD66B1" w:rsidRPr="00036A76">
        <w:t xml:space="preserve">Fonda </w:t>
      </w:r>
      <w:r w:rsidRPr="00036A76">
        <w:t>je javno, ali Skupština može odlučiti da se o pojedinim pitanjima glasa i tajno.</w:t>
      </w:r>
    </w:p>
    <w:p w:rsidR="000E73E8" w:rsidRPr="00036A76" w:rsidRDefault="000E73E8" w:rsidP="00EB7F17">
      <w:pPr>
        <w:pStyle w:val="ListParagraph"/>
        <w:ind w:left="0" w:firstLine="0"/>
      </w:pPr>
    </w:p>
    <w:p w:rsidR="009210F3" w:rsidRPr="00036A76" w:rsidRDefault="009210F3" w:rsidP="00A93F93">
      <w:pPr>
        <w:pStyle w:val="ListParagraph"/>
        <w:ind w:left="0" w:firstLine="0"/>
      </w:pPr>
      <w:r w:rsidRPr="00036A76">
        <w:rPr>
          <w:i/>
        </w:rPr>
        <w:t>19.2.6</w:t>
      </w:r>
      <w:r w:rsidRPr="00036A76">
        <w:t>. Statut Fonda nema odredbe koje daju mogućnost da se odloži ili spriječi sticanje kontrolnog paketa akcija Fonda.</w:t>
      </w:r>
    </w:p>
    <w:p w:rsidR="000E73E8" w:rsidRPr="00036A76" w:rsidRDefault="000E73E8" w:rsidP="00A93F93">
      <w:pPr>
        <w:pStyle w:val="ListParagraph"/>
        <w:ind w:left="0" w:firstLine="0"/>
      </w:pPr>
    </w:p>
    <w:p w:rsidR="009210F3" w:rsidRPr="00036A76" w:rsidRDefault="00A93F93" w:rsidP="00C33915">
      <w:pPr>
        <w:ind w:left="0" w:firstLine="0"/>
        <w:contextualSpacing/>
        <w:rPr>
          <w:rFonts w:eastAsia="Calibri"/>
          <w:bCs/>
        </w:rPr>
      </w:pPr>
      <w:r w:rsidRPr="00036A76">
        <w:rPr>
          <w:i/>
        </w:rPr>
        <w:t>19.2.7.</w:t>
      </w:r>
      <w:r w:rsidRPr="00036A76">
        <w:t xml:space="preserve"> </w:t>
      </w:r>
      <w:r w:rsidR="006E2E87" w:rsidRPr="00036A76">
        <w:rPr>
          <w:rFonts w:eastAsia="Calibri"/>
          <w:bCs/>
        </w:rPr>
        <w:t>Objelodanjivanje učešća u osnovnom kapitalu ili u glasačkim pravima ni</w:t>
      </w:r>
      <w:r w:rsidR="00BD66B1" w:rsidRPr="00036A76">
        <w:rPr>
          <w:rFonts w:eastAsia="Calibri"/>
          <w:bCs/>
        </w:rPr>
        <w:t xml:space="preserve">je regulisano odredbama ovoga Statuta </w:t>
      </w:r>
      <w:r w:rsidR="006E2E87" w:rsidRPr="00036A76">
        <w:rPr>
          <w:rFonts w:eastAsia="Calibri"/>
          <w:bCs/>
        </w:rPr>
        <w:t>niti odredbama nekog drugog akta. Društvo u ime i za račun Fonda objelodanjuje sve informacije</w:t>
      </w:r>
      <w:r w:rsidR="00BD66B1" w:rsidRPr="00036A76">
        <w:rPr>
          <w:rFonts w:eastAsia="Calibri"/>
          <w:bCs/>
        </w:rPr>
        <w:t>,</w:t>
      </w:r>
      <w:r w:rsidR="006E2E87" w:rsidRPr="00036A76">
        <w:rPr>
          <w:rFonts w:eastAsia="Calibri"/>
          <w:bCs/>
        </w:rPr>
        <w:t xml:space="preserve"> u skladu sa pozitivnim propisima koji regulišu ovu oblast.</w:t>
      </w:r>
    </w:p>
    <w:p w:rsidR="000E73E8" w:rsidRPr="00036A76" w:rsidRDefault="000E73E8" w:rsidP="00C33915">
      <w:pPr>
        <w:ind w:left="0" w:firstLine="0"/>
        <w:contextualSpacing/>
        <w:rPr>
          <w:bCs/>
        </w:rPr>
      </w:pPr>
    </w:p>
    <w:p w:rsidR="00C33915" w:rsidRPr="00036A76" w:rsidRDefault="00253417" w:rsidP="00C33915">
      <w:pPr>
        <w:ind w:left="0" w:firstLine="0"/>
        <w:rPr>
          <w:lang w:val="sr-Latn-BA"/>
        </w:rPr>
      </w:pPr>
      <w:r w:rsidRPr="00036A76">
        <w:rPr>
          <w:i/>
          <w:lang w:val="sr-Latn-BA"/>
        </w:rPr>
        <w:t>19.2.8</w:t>
      </w:r>
      <w:r w:rsidRPr="00036A76">
        <w:rPr>
          <w:lang w:val="sr-Latn-BA"/>
        </w:rPr>
        <w:t>.</w:t>
      </w:r>
      <w:r w:rsidRPr="00036A76">
        <w:rPr>
          <w:b/>
          <w:lang w:val="sr-Latn-BA"/>
        </w:rPr>
        <w:t xml:space="preserve"> </w:t>
      </w:r>
      <w:r w:rsidR="00C33915" w:rsidRPr="00036A76">
        <w:rPr>
          <w:lang w:val="sr-Latn-BA"/>
        </w:rPr>
        <w:t>Povećanje i smanjenje osnovnog kapitala</w:t>
      </w:r>
      <w:r w:rsidR="00BD66B1" w:rsidRPr="00036A76">
        <w:rPr>
          <w:lang w:val="sr-Latn-BA"/>
        </w:rPr>
        <w:t xml:space="preserve"> Fonda</w:t>
      </w:r>
    </w:p>
    <w:p w:rsidR="00C33915" w:rsidRPr="00036A76" w:rsidRDefault="00C33915" w:rsidP="00C33915">
      <w:pPr>
        <w:ind w:left="0" w:firstLine="0"/>
        <w:rPr>
          <w:lang w:val="sr-Latn-BA"/>
        </w:rPr>
      </w:pPr>
      <w:r w:rsidRPr="00036A76">
        <w:rPr>
          <w:lang w:val="sr-Latn-BA"/>
        </w:rPr>
        <w:t>Odluku</w:t>
      </w:r>
      <w:r w:rsidR="001B099E" w:rsidRPr="00036A76">
        <w:rPr>
          <w:lang w:val="sr-Latn-BA"/>
        </w:rPr>
        <w:t xml:space="preserve"> o povećanju </w:t>
      </w:r>
      <w:r w:rsidR="00BD66B1" w:rsidRPr="00036A76">
        <w:rPr>
          <w:lang w:val="sr-Latn-BA"/>
        </w:rPr>
        <w:t>osnovnog kapitala Fonda donosi S</w:t>
      </w:r>
      <w:r w:rsidR="001B099E" w:rsidRPr="00036A76">
        <w:rPr>
          <w:lang w:val="sr-Latn-BA"/>
        </w:rPr>
        <w:t>kupština F</w:t>
      </w:r>
      <w:r w:rsidRPr="00036A76">
        <w:rPr>
          <w:lang w:val="sr-Latn-BA"/>
        </w:rPr>
        <w:t xml:space="preserve">onda, po postupku i na način propisan Zakonom o </w:t>
      </w:r>
      <w:r w:rsidR="00BD66B1" w:rsidRPr="00036A76">
        <w:rPr>
          <w:lang w:val="sr-Latn-BA"/>
        </w:rPr>
        <w:t>privrednim društvima.</w:t>
      </w:r>
    </w:p>
    <w:p w:rsidR="00C33915" w:rsidRPr="00036A76" w:rsidRDefault="00C33915" w:rsidP="00C33915">
      <w:pPr>
        <w:ind w:left="0" w:firstLine="0"/>
        <w:rPr>
          <w:lang w:val="sr-Latn-BA"/>
        </w:rPr>
      </w:pPr>
      <w:r w:rsidRPr="00036A76">
        <w:rPr>
          <w:lang w:val="sr-Latn-BA"/>
        </w:rPr>
        <w:t>Odluku</w:t>
      </w:r>
      <w:r w:rsidR="001B099E" w:rsidRPr="00036A76">
        <w:rPr>
          <w:lang w:val="sr-Latn-BA"/>
        </w:rPr>
        <w:t xml:space="preserve"> o smanjenju osnovnog kapitala Fonda donosi skupština F</w:t>
      </w:r>
      <w:r w:rsidRPr="00036A76">
        <w:rPr>
          <w:lang w:val="sr-Latn-BA"/>
        </w:rPr>
        <w:t>onda, na isti način i po istoj proceduri kao</w:t>
      </w:r>
      <w:r w:rsidR="001B099E" w:rsidRPr="00036A76">
        <w:rPr>
          <w:lang w:val="sr-Latn-BA"/>
        </w:rPr>
        <w:t xml:space="preserve"> i odluku o povećanju </w:t>
      </w:r>
      <w:r w:rsidR="00BD66B1" w:rsidRPr="00036A76">
        <w:rPr>
          <w:lang w:val="sr-Latn-BA"/>
        </w:rPr>
        <w:t xml:space="preserve">osnovnog </w:t>
      </w:r>
      <w:r w:rsidR="001B099E" w:rsidRPr="00036A76">
        <w:rPr>
          <w:lang w:val="sr-Latn-BA"/>
        </w:rPr>
        <w:t>kapitala F</w:t>
      </w:r>
      <w:r w:rsidRPr="00036A76">
        <w:rPr>
          <w:lang w:val="sr-Latn-BA"/>
        </w:rPr>
        <w:t>onda, i prim</w:t>
      </w:r>
      <w:r w:rsidR="00BD66B1" w:rsidRPr="00036A76">
        <w:rPr>
          <w:lang w:val="sr-Latn-BA"/>
        </w:rPr>
        <w:t>jenom istog Z</w:t>
      </w:r>
      <w:r w:rsidRPr="00036A76">
        <w:rPr>
          <w:lang w:val="sr-Latn-BA"/>
        </w:rPr>
        <w:t>akona</w:t>
      </w:r>
      <w:r w:rsidR="00BD66B1" w:rsidRPr="00036A76">
        <w:rPr>
          <w:lang w:val="sr-Latn-BA"/>
        </w:rPr>
        <w:t xml:space="preserve">. </w:t>
      </w:r>
    </w:p>
    <w:p w:rsidR="00C33915" w:rsidRPr="00036A76" w:rsidRDefault="00C33915" w:rsidP="00C33915">
      <w:pPr>
        <w:ind w:left="0" w:firstLine="0"/>
        <w:rPr>
          <w:lang w:val="sr-Latn-BA"/>
        </w:rPr>
      </w:pPr>
      <w:r w:rsidRPr="00036A76">
        <w:rPr>
          <w:lang w:val="sr-Latn-BA"/>
        </w:rPr>
        <w:t xml:space="preserve">Odlukom o </w:t>
      </w:r>
      <w:r w:rsidR="00BD66B1" w:rsidRPr="00036A76">
        <w:rPr>
          <w:lang w:val="sr-Latn-BA"/>
        </w:rPr>
        <w:t>emisiji, koju donosi S</w:t>
      </w:r>
      <w:r w:rsidR="001B099E" w:rsidRPr="00036A76">
        <w:rPr>
          <w:lang w:val="sr-Latn-BA"/>
        </w:rPr>
        <w:t>kupština F</w:t>
      </w:r>
      <w:r w:rsidRPr="00036A76">
        <w:rPr>
          <w:lang w:val="sr-Latn-BA"/>
        </w:rPr>
        <w:t>onda utvrđuje se vrijednost emisije, i minimalni iznos novčanih sredstava, koja se moraju prikupiti javnom ponudom, da bi se emisija smatrala uspješnom.</w:t>
      </w:r>
    </w:p>
    <w:p w:rsidR="00C33915" w:rsidRPr="00036A76" w:rsidRDefault="00C33915" w:rsidP="00C33915">
      <w:pPr>
        <w:ind w:left="0" w:firstLine="0"/>
        <w:rPr>
          <w:lang w:val="sr-Latn-BA"/>
        </w:rPr>
      </w:pPr>
      <w:r w:rsidRPr="00036A76">
        <w:rPr>
          <w:lang w:val="sr-Latn-BA"/>
        </w:rPr>
        <w:t>Odlukom o emisiji se takođe mora definisati i procedure za povrat uplaćeni</w:t>
      </w:r>
      <w:r w:rsidR="001B099E" w:rsidRPr="00036A76">
        <w:rPr>
          <w:lang w:val="sr-Latn-BA"/>
        </w:rPr>
        <w:t>h novčanih iznosa  akcionarima F</w:t>
      </w:r>
      <w:r w:rsidRPr="00036A76">
        <w:rPr>
          <w:lang w:val="sr-Latn-BA"/>
        </w:rPr>
        <w:t>onda, za slučaj da se emisijom ne prikupi propisani najniži iznos novčanih sredstava da bi se emisija mogla smatrati uspješnom.</w:t>
      </w:r>
    </w:p>
    <w:p w:rsidR="00C33915" w:rsidRPr="00036A76" w:rsidRDefault="001B099E" w:rsidP="00C33915">
      <w:pPr>
        <w:ind w:left="0" w:firstLine="0"/>
        <w:rPr>
          <w:lang w:val="sr-Latn-BA"/>
        </w:rPr>
      </w:pPr>
      <w:r w:rsidRPr="00036A76">
        <w:rPr>
          <w:lang w:val="sr-Latn-BA"/>
        </w:rPr>
        <w:t>Prospektom F</w:t>
      </w:r>
      <w:r w:rsidR="00C33915" w:rsidRPr="00036A76">
        <w:rPr>
          <w:lang w:val="sr-Latn-BA"/>
        </w:rPr>
        <w:t xml:space="preserve">onda će se definisati uslovi, </w:t>
      </w:r>
      <w:r w:rsidRPr="00036A76">
        <w:rPr>
          <w:lang w:val="sr-Latn-BA"/>
        </w:rPr>
        <w:t>način i postupak novih emisija F</w:t>
      </w:r>
      <w:r w:rsidR="00BD66B1" w:rsidRPr="00036A76">
        <w:rPr>
          <w:lang w:val="sr-Latn-BA"/>
        </w:rPr>
        <w:t>onda, a sve u skladu sa Z</w:t>
      </w:r>
      <w:r w:rsidR="00C33915" w:rsidRPr="00036A76">
        <w:rPr>
          <w:lang w:val="sr-Latn-BA"/>
        </w:rPr>
        <w:t>akonom, ak</w:t>
      </w:r>
      <w:r w:rsidR="00BD62DE" w:rsidRPr="00036A76">
        <w:rPr>
          <w:lang w:val="sr-Latn-BA"/>
        </w:rPr>
        <w:t>tima Društva i aktima F</w:t>
      </w:r>
      <w:r w:rsidR="00C33915" w:rsidRPr="00036A76">
        <w:rPr>
          <w:lang w:val="sr-Latn-BA"/>
        </w:rPr>
        <w:t>ond</w:t>
      </w:r>
      <w:r w:rsidR="00324931" w:rsidRPr="00036A76">
        <w:rPr>
          <w:lang w:val="sr-Latn-BA"/>
        </w:rPr>
        <w:t>a, te u skladu sa podzakonskim aktima</w:t>
      </w:r>
      <w:r w:rsidR="00C33915" w:rsidRPr="00036A76">
        <w:rPr>
          <w:lang w:val="sr-Latn-BA"/>
        </w:rPr>
        <w:t>.</w:t>
      </w:r>
    </w:p>
    <w:p w:rsidR="00287ACD" w:rsidRPr="00036A76" w:rsidRDefault="00BD66B1" w:rsidP="00BD66B1">
      <w:pPr>
        <w:ind w:left="0" w:firstLine="0"/>
        <w:rPr>
          <w:lang w:val="sr-Latn-BA"/>
        </w:rPr>
      </w:pPr>
      <w:r w:rsidRPr="00036A76">
        <w:rPr>
          <w:lang w:val="sr-Latn-BA"/>
        </w:rPr>
        <w:t>Fond neće povećavati osnovni kapital.</w:t>
      </w:r>
    </w:p>
    <w:p w:rsidR="000E73E8" w:rsidRPr="00036A76" w:rsidRDefault="000E73E8" w:rsidP="00787406">
      <w:pPr>
        <w:ind w:left="0" w:firstLine="0"/>
        <w:rPr>
          <w:lang w:val="sr-Latn-BA"/>
        </w:rPr>
      </w:pPr>
    </w:p>
    <w:p w:rsidR="00125BCC" w:rsidRPr="00036A76" w:rsidRDefault="00125BCC" w:rsidP="00F553CF">
      <w:pPr>
        <w:pStyle w:val="ListParagraph"/>
        <w:numPr>
          <w:ilvl w:val="0"/>
          <w:numId w:val="10"/>
        </w:numPr>
        <w:jc w:val="left"/>
        <w:rPr>
          <w:b/>
          <w:bCs/>
          <w:sz w:val="26"/>
          <w:szCs w:val="26"/>
        </w:rPr>
      </w:pPr>
      <w:r w:rsidRPr="00036A76">
        <w:rPr>
          <w:b/>
          <w:bCs/>
          <w:sz w:val="26"/>
          <w:szCs w:val="26"/>
        </w:rPr>
        <w:t>ZNAČAJNI UGOVORI</w:t>
      </w:r>
    </w:p>
    <w:p w:rsidR="004B60E3" w:rsidRPr="00036A76" w:rsidRDefault="00125BCC" w:rsidP="00A314A5">
      <w:pPr>
        <w:ind w:left="0" w:firstLine="0"/>
        <w:contextualSpacing/>
        <w:rPr>
          <w:bCs/>
        </w:rPr>
      </w:pPr>
      <w:r w:rsidRPr="00036A76">
        <w:rPr>
          <w:bCs/>
        </w:rPr>
        <w:t>U skladu sa aktima Fonda, kao i Ugovorom o upravljanju koji je Fond zaključio sa Društvom</w:t>
      </w:r>
      <w:r w:rsidR="00A314A5" w:rsidRPr="00036A76">
        <w:rPr>
          <w:bCs/>
        </w:rPr>
        <w:t xml:space="preserve"> za upravljanje</w:t>
      </w:r>
      <w:r w:rsidRPr="00036A76">
        <w:rPr>
          <w:bCs/>
        </w:rPr>
        <w:t xml:space="preserve">, Fond je prenio upravljanje i vođenje poslova na Društvo. U pravnim poslovima sa trećim licima Društvo </w:t>
      </w:r>
      <w:r w:rsidR="00A314A5" w:rsidRPr="00036A76">
        <w:rPr>
          <w:bCs/>
        </w:rPr>
        <w:t xml:space="preserve">za upravljanje </w:t>
      </w:r>
      <w:r w:rsidRPr="00036A76">
        <w:rPr>
          <w:bCs/>
        </w:rPr>
        <w:t>nastupa u ime i za r</w:t>
      </w:r>
      <w:r w:rsidR="00A314A5" w:rsidRPr="00036A76">
        <w:rPr>
          <w:bCs/>
        </w:rPr>
        <w:t xml:space="preserve">ačun Fonda. </w:t>
      </w:r>
    </w:p>
    <w:p w:rsidR="004B60E3" w:rsidRPr="00036A76" w:rsidRDefault="004B60E3" w:rsidP="00F553CF">
      <w:pPr>
        <w:pStyle w:val="ListParagraph"/>
        <w:numPr>
          <w:ilvl w:val="1"/>
          <w:numId w:val="10"/>
        </w:numPr>
        <w:ind w:left="0" w:firstLine="0"/>
        <w:jc w:val="left"/>
        <w:rPr>
          <w:b/>
          <w:bCs/>
        </w:rPr>
      </w:pPr>
      <w:r w:rsidRPr="00036A76">
        <w:rPr>
          <w:b/>
          <w:bCs/>
        </w:rPr>
        <w:t>Pregled administrativnih poslova koje je društvo prenijelo na treće lice</w:t>
      </w:r>
    </w:p>
    <w:p w:rsidR="004B60E3" w:rsidRPr="00036A76" w:rsidRDefault="004B60E3" w:rsidP="004B60E3">
      <w:pPr>
        <w:ind w:left="0" w:firstLine="0"/>
        <w:contextualSpacing/>
        <w:rPr>
          <w:lang w:val="it-IT"/>
        </w:rPr>
      </w:pPr>
      <w:r w:rsidRPr="00036A76">
        <w:rPr>
          <w:lang w:val="it-IT"/>
        </w:rPr>
        <w:t>Firma (treće lice) na koje su poslovi preneseni: Društvo sa ograničenom odgovornošću za računovodstvo, reviziju i konsalting “Petros” Bijeljina.</w:t>
      </w:r>
    </w:p>
    <w:p w:rsidR="004B60E3" w:rsidRPr="00036A76" w:rsidRDefault="004B60E3" w:rsidP="004B60E3">
      <w:pPr>
        <w:pStyle w:val="ListParagraph"/>
        <w:ind w:left="0" w:firstLine="0"/>
        <w:rPr>
          <w:lang w:val="it-IT"/>
        </w:rPr>
      </w:pPr>
      <w:r w:rsidRPr="00036A76">
        <w:rPr>
          <w:lang w:val="it-IT"/>
        </w:rPr>
        <w:t>Adresa, telefon, telefaks i adresa elektronske pošte: Ulica Cara Lazara 14D, 76300 Bijeljina, tel.: 055/226-391, fax: 055/226-392, e-mail: petrosbiro@spinter.net</w:t>
      </w:r>
    </w:p>
    <w:p w:rsidR="004B60E3" w:rsidRPr="00036A76" w:rsidRDefault="004B60E3" w:rsidP="004B60E3">
      <w:pPr>
        <w:pStyle w:val="ListParagraph"/>
        <w:ind w:left="0" w:firstLine="0"/>
        <w:rPr>
          <w:lang w:val="it-IT"/>
        </w:rPr>
      </w:pPr>
      <w:r w:rsidRPr="00036A76">
        <w:rPr>
          <w:lang w:val="it-IT"/>
        </w:rPr>
        <w:t>Opis poslova koje je Društvo u ime i za račun Fonda prenijelo na treće lice:</w:t>
      </w:r>
    </w:p>
    <w:p w:rsidR="004B60E3" w:rsidRPr="00036A76" w:rsidRDefault="004B60E3" w:rsidP="004B60E3">
      <w:pPr>
        <w:pStyle w:val="ListParagraph"/>
        <w:ind w:left="0" w:firstLine="0"/>
        <w:rPr>
          <w:lang w:val="it-IT"/>
        </w:rPr>
      </w:pPr>
      <w:r w:rsidRPr="00036A76">
        <w:rPr>
          <w:lang w:val="it-IT"/>
        </w:rPr>
        <w:t xml:space="preserve">Instruktivno učestvovanje u formiranju dokumentacije, kontrola, praćenje i knjiženje svih poslovnih promjena prema važećem Zakonu o računovodstvu Republike Srpske, Međunarodnim računovodstvenim standardima i ostalim važećim propisima kroz dnevnik i glavnu knjigu, sastavljanje kvartalnih, polugodišnjih i godišnjih obračuna i poreskih bilansa. </w:t>
      </w:r>
    </w:p>
    <w:p w:rsidR="00125BCC" w:rsidRPr="00036A76" w:rsidRDefault="00125BCC" w:rsidP="00125BCC">
      <w:pPr>
        <w:ind w:left="0" w:firstLine="0"/>
        <w:contextualSpacing/>
        <w:jc w:val="left"/>
        <w:rPr>
          <w:b/>
          <w:bCs/>
          <w:sz w:val="26"/>
          <w:szCs w:val="26"/>
        </w:rPr>
      </w:pPr>
    </w:p>
    <w:p w:rsidR="00B86298" w:rsidRPr="00036A76" w:rsidRDefault="00B86298" w:rsidP="00F553CF">
      <w:pPr>
        <w:pStyle w:val="ListParagraph"/>
        <w:numPr>
          <w:ilvl w:val="0"/>
          <w:numId w:val="10"/>
        </w:numPr>
        <w:jc w:val="left"/>
        <w:rPr>
          <w:b/>
          <w:bCs/>
          <w:sz w:val="26"/>
          <w:szCs w:val="26"/>
        </w:rPr>
      </w:pPr>
      <w:r w:rsidRPr="00036A76">
        <w:rPr>
          <w:b/>
          <w:bCs/>
          <w:sz w:val="26"/>
          <w:szCs w:val="26"/>
        </w:rPr>
        <w:t>INFORMACIJE ČIJI SU IZVOR TREĆA LICA I IZJAVE STRUČNJAKA</w:t>
      </w:r>
    </w:p>
    <w:p w:rsidR="00B86298" w:rsidRPr="00036A76" w:rsidRDefault="00B86298" w:rsidP="00B86298">
      <w:pPr>
        <w:ind w:left="0" w:firstLine="0"/>
        <w:rPr>
          <w:bCs/>
        </w:rPr>
      </w:pPr>
      <w:r w:rsidRPr="00036A76">
        <w:rPr>
          <w:bCs/>
        </w:rPr>
        <w:t>Dokument o registraciji ne posjeduje informacije čiji su izvor treća lica, niti izjave stručnjaka.</w:t>
      </w:r>
    </w:p>
    <w:p w:rsidR="00B86298" w:rsidRPr="00036A76" w:rsidRDefault="00B86298" w:rsidP="00B86298">
      <w:pPr>
        <w:ind w:left="0" w:firstLine="0"/>
        <w:jc w:val="left"/>
        <w:rPr>
          <w:b/>
          <w:bCs/>
          <w:sz w:val="26"/>
          <w:szCs w:val="26"/>
        </w:rPr>
      </w:pPr>
    </w:p>
    <w:p w:rsidR="00125BCC" w:rsidRPr="00036A76" w:rsidRDefault="00125BCC" w:rsidP="00F553CF">
      <w:pPr>
        <w:pStyle w:val="ListParagraph"/>
        <w:numPr>
          <w:ilvl w:val="0"/>
          <w:numId w:val="10"/>
        </w:numPr>
        <w:jc w:val="left"/>
        <w:rPr>
          <w:b/>
          <w:bCs/>
          <w:sz w:val="26"/>
          <w:szCs w:val="26"/>
        </w:rPr>
      </w:pPr>
      <w:r w:rsidRPr="00036A76">
        <w:rPr>
          <w:b/>
          <w:bCs/>
          <w:sz w:val="26"/>
          <w:szCs w:val="26"/>
        </w:rPr>
        <w:lastRenderedPageBreak/>
        <w:t>DOKUMENTI DOSTUPNI NA UVID</w:t>
      </w:r>
    </w:p>
    <w:p w:rsidR="00125BCC" w:rsidRPr="00036A76" w:rsidRDefault="00125BCC" w:rsidP="00125BCC">
      <w:pPr>
        <w:ind w:left="0" w:firstLine="0"/>
        <w:contextualSpacing/>
        <w:rPr>
          <w:bCs/>
        </w:rPr>
      </w:pPr>
      <w:r w:rsidRPr="00036A76">
        <w:rPr>
          <w:bCs/>
        </w:rPr>
        <w:t xml:space="preserve">Izjavljujemo da će za sve vrijeme </w:t>
      </w:r>
      <w:r w:rsidR="00A314A5" w:rsidRPr="00036A76">
        <w:rPr>
          <w:bCs/>
        </w:rPr>
        <w:t>trajanja Fonda</w:t>
      </w:r>
      <w:r w:rsidRPr="00036A76">
        <w:rPr>
          <w:bCs/>
        </w:rPr>
        <w:t xml:space="preserve"> biti dostupni sljedeći dokumenti</w:t>
      </w:r>
      <w:r w:rsidR="00C15E18" w:rsidRPr="00036A76">
        <w:rPr>
          <w:bCs/>
        </w:rPr>
        <w:t xml:space="preserve"> Fonda</w:t>
      </w:r>
      <w:r w:rsidRPr="00036A76">
        <w:rPr>
          <w:bCs/>
        </w:rPr>
        <w:t>:</w:t>
      </w:r>
    </w:p>
    <w:p w:rsidR="00125BCC" w:rsidRPr="00036A76" w:rsidRDefault="00C15E18" w:rsidP="00C15E18">
      <w:pPr>
        <w:pStyle w:val="ListParagraph"/>
        <w:numPr>
          <w:ilvl w:val="0"/>
          <w:numId w:val="2"/>
        </w:numPr>
        <w:rPr>
          <w:bCs/>
        </w:rPr>
      </w:pPr>
      <w:r w:rsidRPr="00036A76">
        <w:rPr>
          <w:bCs/>
        </w:rPr>
        <w:t>Statut Fonda,</w:t>
      </w:r>
    </w:p>
    <w:p w:rsidR="00C15E18" w:rsidRPr="00036A76" w:rsidRDefault="00C15E18" w:rsidP="00C15E18">
      <w:pPr>
        <w:pStyle w:val="ListParagraph"/>
        <w:numPr>
          <w:ilvl w:val="0"/>
          <w:numId w:val="2"/>
        </w:numPr>
        <w:rPr>
          <w:bCs/>
        </w:rPr>
      </w:pPr>
      <w:r w:rsidRPr="00036A76">
        <w:rPr>
          <w:bCs/>
        </w:rPr>
        <w:t>Prospekt  Fonda,</w:t>
      </w:r>
    </w:p>
    <w:p w:rsidR="00C15E18" w:rsidRPr="00036A76" w:rsidRDefault="00C15E18" w:rsidP="00C15E18">
      <w:pPr>
        <w:pStyle w:val="ListParagraph"/>
        <w:numPr>
          <w:ilvl w:val="0"/>
          <w:numId w:val="2"/>
        </w:numPr>
        <w:rPr>
          <w:bCs/>
        </w:rPr>
      </w:pPr>
      <w:r w:rsidRPr="00036A76">
        <w:rPr>
          <w:bCs/>
        </w:rPr>
        <w:t>Ugovor o upravljanju Fondom,</w:t>
      </w:r>
    </w:p>
    <w:p w:rsidR="00C15E18" w:rsidRPr="00036A76" w:rsidRDefault="00C15E18" w:rsidP="00C15E18">
      <w:pPr>
        <w:pStyle w:val="ListParagraph"/>
        <w:numPr>
          <w:ilvl w:val="0"/>
          <w:numId w:val="2"/>
        </w:numPr>
        <w:rPr>
          <w:bCs/>
        </w:rPr>
      </w:pPr>
      <w:r w:rsidRPr="00036A76">
        <w:rPr>
          <w:bCs/>
        </w:rPr>
        <w:t>Ugovor sa depozitarom,</w:t>
      </w:r>
    </w:p>
    <w:p w:rsidR="00C15E18" w:rsidRPr="00036A76" w:rsidRDefault="00C15E18" w:rsidP="00C15E18">
      <w:pPr>
        <w:pStyle w:val="ListParagraph"/>
        <w:numPr>
          <w:ilvl w:val="0"/>
          <w:numId w:val="2"/>
        </w:numPr>
        <w:rPr>
          <w:bCs/>
        </w:rPr>
      </w:pPr>
      <w:r w:rsidRPr="00036A76">
        <w:rPr>
          <w:bCs/>
        </w:rPr>
        <w:t>Periodični obračun Fonda,</w:t>
      </w:r>
    </w:p>
    <w:p w:rsidR="00125BCC" w:rsidRPr="00036A76" w:rsidRDefault="00C15E18" w:rsidP="00C15E18">
      <w:pPr>
        <w:pStyle w:val="ListParagraph"/>
        <w:numPr>
          <w:ilvl w:val="0"/>
          <w:numId w:val="2"/>
        </w:numPr>
        <w:rPr>
          <w:bCs/>
        </w:rPr>
      </w:pPr>
      <w:r w:rsidRPr="00036A76">
        <w:rPr>
          <w:bCs/>
        </w:rPr>
        <w:t>Godišnji obračun Fonda i</w:t>
      </w:r>
    </w:p>
    <w:p w:rsidR="00125BCC" w:rsidRPr="00036A76" w:rsidRDefault="00C15E18" w:rsidP="00C15E18">
      <w:pPr>
        <w:pStyle w:val="ListParagraph"/>
        <w:numPr>
          <w:ilvl w:val="0"/>
          <w:numId w:val="2"/>
        </w:numPr>
        <w:rPr>
          <w:bCs/>
        </w:rPr>
      </w:pPr>
      <w:r w:rsidRPr="00036A76">
        <w:rPr>
          <w:bCs/>
        </w:rPr>
        <w:t>Akta I izvještaji koji se odnose na stausnu promjenu Fonda.</w:t>
      </w:r>
    </w:p>
    <w:p w:rsidR="00125BCC" w:rsidRPr="00036A76" w:rsidRDefault="00125BCC" w:rsidP="00125BCC">
      <w:pPr>
        <w:ind w:left="0" w:firstLine="0"/>
        <w:contextualSpacing/>
      </w:pPr>
      <w:r w:rsidRPr="00036A76">
        <w:rPr>
          <w:bCs/>
        </w:rPr>
        <w:t>Navedeni dokumenti dostupni su javnosti i mogu se pogledati radnim danom u vremenu od 8 do 16 časov</w:t>
      </w:r>
      <w:r w:rsidR="00C15E18" w:rsidRPr="00036A76">
        <w:rPr>
          <w:bCs/>
        </w:rPr>
        <w:t>a u prostorijama Društva za upravljanje, u</w:t>
      </w:r>
      <w:r w:rsidRPr="00036A76">
        <w:rPr>
          <w:bCs/>
        </w:rPr>
        <w:t xml:space="preserve">lica </w:t>
      </w:r>
      <w:r w:rsidR="00A14C73" w:rsidRPr="00036A76">
        <w:rPr>
          <w:bCs/>
        </w:rPr>
        <w:t>Gavrila Principa 11, Bijeljina,</w:t>
      </w:r>
      <w:r w:rsidR="00C15E18" w:rsidRPr="00036A76">
        <w:rPr>
          <w:bCs/>
        </w:rPr>
        <w:t xml:space="preserve"> na web stranici Društva za upravljanje</w:t>
      </w:r>
      <w:r w:rsidRPr="00036A76">
        <w:rPr>
          <w:bCs/>
        </w:rPr>
        <w:t xml:space="preserve"> </w:t>
      </w:r>
      <w:hyperlink r:id="rId11" w:history="1">
        <w:r w:rsidRPr="00036A76">
          <w:rPr>
            <w:rStyle w:val="Hyperlink"/>
            <w:bCs/>
          </w:rPr>
          <w:t>www.investnova.info</w:t>
        </w:r>
      </w:hyperlink>
      <w:r w:rsidRPr="00036A76">
        <w:rPr>
          <w:bCs/>
        </w:rPr>
        <w:t xml:space="preserve"> i na web stranici Banjalučke Berze </w:t>
      </w:r>
      <w:hyperlink r:id="rId12" w:history="1">
        <w:r w:rsidRPr="00036A76">
          <w:rPr>
            <w:rStyle w:val="Hyperlink"/>
            <w:bCs/>
          </w:rPr>
          <w:t>www.blberza.com</w:t>
        </w:r>
      </w:hyperlink>
    </w:p>
    <w:p w:rsidR="00125BCC" w:rsidRPr="00036A76" w:rsidRDefault="00125BCC" w:rsidP="00C33915">
      <w:pPr>
        <w:ind w:left="720" w:firstLine="0"/>
        <w:rPr>
          <w:lang w:val="sr-Latn-BA"/>
        </w:rPr>
      </w:pPr>
    </w:p>
    <w:p w:rsidR="00125BCC" w:rsidRPr="00036A76" w:rsidRDefault="00975C4F" w:rsidP="00F553CF">
      <w:pPr>
        <w:pStyle w:val="ListParagraph"/>
        <w:numPr>
          <w:ilvl w:val="0"/>
          <w:numId w:val="10"/>
        </w:numPr>
        <w:jc w:val="left"/>
        <w:rPr>
          <w:b/>
          <w:bCs/>
          <w:sz w:val="26"/>
          <w:szCs w:val="26"/>
        </w:rPr>
      </w:pPr>
      <w:r w:rsidRPr="00036A76">
        <w:rPr>
          <w:b/>
          <w:bCs/>
          <w:sz w:val="26"/>
          <w:szCs w:val="26"/>
        </w:rPr>
        <w:t>INFORMACIJE O EMITENTIMA U KOJIMA FOND IMA ULAGANJA, I NAD KOJIMA JE POKRENUT POSTUPAK STEČAJA</w:t>
      </w:r>
    </w:p>
    <w:p w:rsidR="00125BCC" w:rsidRPr="00036A76" w:rsidRDefault="00975C4F" w:rsidP="00125BCC">
      <w:pPr>
        <w:ind w:left="0" w:firstLine="0"/>
        <w:contextualSpacing/>
        <w:jc w:val="left"/>
        <w:rPr>
          <w:bCs/>
        </w:rPr>
      </w:pPr>
      <w:r w:rsidRPr="00036A76">
        <w:rPr>
          <w:bCs/>
        </w:rPr>
        <w:t>Informacija se odnosi na emitente</w:t>
      </w:r>
      <w:r w:rsidR="00125BCC" w:rsidRPr="00036A76">
        <w:rPr>
          <w:bCs/>
        </w:rPr>
        <w:t xml:space="preserve"> u stečaju u</w:t>
      </w:r>
      <w:r w:rsidRPr="00036A76">
        <w:rPr>
          <w:bCs/>
        </w:rPr>
        <w:t xml:space="preserve"> kojima Fond ima ulaganja</w:t>
      </w:r>
      <w:r w:rsidR="00125BCC" w:rsidRPr="00036A76">
        <w:rPr>
          <w:bCs/>
        </w:rPr>
        <w:t xml:space="preserve">, a što može da ima značajan uticaj na procjenu imovine, finansijski položaj i </w:t>
      </w:r>
      <w:r w:rsidRPr="00036A76">
        <w:rPr>
          <w:bCs/>
        </w:rPr>
        <w:t>na</w:t>
      </w:r>
      <w:r w:rsidR="00125BCC" w:rsidRPr="00036A76">
        <w:rPr>
          <w:bCs/>
        </w:rPr>
        <w:t>gubitke Fonda.</w:t>
      </w:r>
    </w:p>
    <w:p w:rsidR="00975C4F" w:rsidRPr="00036A76" w:rsidRDefault="00975C4F" w:rsidP="00125BCC">
      <w:pPr>
        <w:ind w:left="0" w:firstLine="0"/>
        <w:contextualSpacing/>
        <w:jc w:val="left"/>
        <w:rPr>
          <w:bCs/>
        </w:rPr>
      </w:pPr>
      <w:r w:rsidRPr="00036A76">
        <w:rPr>
          <w:bCs/>
        </w:rPr>
        <w:t>Podaci se daju na dan 31.12.2016. godine.</w:t>
      </w:r>
    </w:p>
    <w:p w:rsidR="00125BCC" w:rsidRPr="00036A76" w:rsidRDefault="00125BCC" w:rsidP="00125BCC">
      <w:pPr>
        <w:ind w:left="0" w:firstLine="0"/>
        <w:contextualSpacing/>
        <w:jc w:val="left"/>
        <w:rPr>
          <w:bCs/>
        </w:rPr>
      </w:pPr>
    </w:p>
    <w:tbl>
      <w:tblPr>
        <w:tblpPr w:leftFromText="180" w:rightFromText="180" w:vertAnchor="text" w:tblpX="108" w:tblpY="1"/>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1806"/>
        <w:gridCol w:w="1605"/>
        <w:gridCol w:w="2005"/>
      </w:tblGrid>
      <w:tr w:rsidR="00125BCC" w:rsidRPr="00036A76" w:rsidTr="00125BCC">
        <w:tc>
          <w:tcPr>
            <w:tcW w:w="3134"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Naziv emitenta</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Oznaka emitenta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Broj</w:t>
            </w:r>
          </w:p>
          <w:p w:rsidR="00125BCC" w:rsidRPr="00036A76" w:rsidRDefault="00125BCC" w:rsidP="00125BCC">
            <w:pPr>
              <w:ind w:left="0" w:firstLine="0"/>
              <w:jc w:val="center"/>
              <w:rPr>
                <w:rFonts w:eastAsia="Calibri"/>
                <w:sz w:val="22"/>
                <w:szCs w:val="22"/>
              </w:rPr>
            </w:pPr>
            <w:r w:rsidRPr="00036A76">
              <w:rPr>
                <w:rFonts w:eastAsia="Calibri"/>
                <w:sz w:val="22"/>
                <w:szCs w:val="22"/>
              </w:rPr>
              <w:t>akcija</w:t>
            </w:r>
          </w:p>
        </w:tc>
        <w:tc>
          <w:tcPr>
            <w:tcW w:w="20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bCs/>
                <w:sz w:val="22"/>
                <w:szCs w:val="22"/>
                <w:shd w:val="clear" w:color="auto" w:fill="FFFFFF"/>
              </w:rPr>
              <w:t>% učešća</w:t>
            </w:r>
            <w:r w:rsidRPr="00036A76">
              <w:rPr>
                <w:rFonts w:eastAsia="Calibri"/>
                <w:bCs/>
                <w:sz w:val="22"/>
                <w:szCs w:val="22"/>
              </w:rPr>
              <w:t xml:space="preserve"> </w:t>
            </w:r>
            <w:r w:rsidRPr="00036A76">
              <w:rPr>
                <w:rFonts w:eastAsia="Calibri"/>
                <w:bCs/>
                <w:sz w:val="22"/>
                <w:szCs w:val="22"/>
                <w:shd w:val="clear" w:color="auto" w:fill="FFFFFF"/>
              </w:rPr>
              <w:t>u vlasništvu</w:t>
            </w:r>
            <w:r w:rsidRPr="00036A76">
              <w:rPr>
                <w:rFonts w:eastAsia="Calibri"/>
                <w:bCs/>
                <w:sz w:val="22"/>
                <w:szCs w:val="22"/>
              </w:rPr>
              <w:br/>
            </w:r>
            <w:r w:rsidRPr="00036A76">
              <w:rPr>
                <w:rFonts w:eastAsia="Calibri"/>
                <w:bCs/>
                <w:sz w:val="22"/>
                <w:szCs w:val="22"/>
                <w:shd w:val="clear" w:color="auto" w:fill="FFFFFF"/>
              </w:rPr>
              <w:t>izdavaoca</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Birač a.d. Zvornik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BIRA-R-A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9.985.689</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1,369619</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HUTP Cer a.d. Prnjavor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CERP-R-A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96.941</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2,450777</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Čajavec PPS telekomunikacije a.d. Banja Luka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CPPS-R-A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113.737</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31,407868</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Dobojputevi a.d. Doboj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DOPT-R-A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108.589</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1,963563</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Duvan a.d. Bratunac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DVAN-R-A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109.366</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6,825853</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Dalekovodinženjering a.d. Bratunac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DVIN-R-A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298.150</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28,535551</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Fabrika šećera Bijeljina a.d. Velika Obarska</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FSBN-R-A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472.361</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1,638237</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Fabrika stočne hrane a.d. Nova Topola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FSTH-R-A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7.264</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0,1441</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GIK Hidrogradnja a.d. Istočno Sarajevo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HIDR-R-A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1.042.945</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3,103121</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Hotel Sava a.d. Brod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HSVA-R-A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576.080</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17,883863</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Hotel Krajina a.d. Mrkonjić Grad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HTKR-R-A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61.398</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3,520568</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Intal a.d. Milići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INTL-R-A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61.626</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3,537735</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Inženjering a.d. Zvornik P.O.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INZR-R-A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880.151</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18,144604</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Jugomontaža a.d. Bileća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JMNT-R-A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243.925</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23,892268</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t xml:space="preserve">Famos Fabrika Koran a.d. Pale – </w:t>
            </w:r>
            <w:r w:rsidRPr="00036A76">
              <w:rPr>
                <w:rFonts w:eastAsia="Calibri"/>
                <w:sz w:val="22"/>
                <w:szCs w:val="22"/>
              </w:rPr>
              <w:lastRenderedPageBreak/>
              <w:t>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lastRenderedPageBreak/>
              <w:t>KORN-R-A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1.977.148</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9,019816</w:t>
            </w:r>
          </w:p>
        </w:tc>
      </w:tr>
      <w:tr w:rsidR="00125BCC" w:rsidRPr="00036A76" w:rsidTr="00125BCC">
        <w:tc>
          <w:tcPr>
            <w:tcW w:w="3134" w:type="dxa"/>
            <w:shd w:val="clear" w:color="auto" w:fill="auto"/>
            <w:vAlign w:val="center"/>
          </w:tcPr>
          <w:p w:rsidR="00125BCC" w:rsidRPr="00036A76" w:rsidRDefault="00125BCC" w:rsidP="00125BCC">
            <w:pPr>
              <w:ind w:left="0" w:firstLine="0"/>
              <w:jc w:val="left"/>
              <w:rPr>
                <w:rFonts w:eastAsia="Calibri"/>
                <w:sz w:val="22"/>
                <w:szCs w:val="22"/>
              </w:rPr>
            </w:pPr>
            <w:r w:rsidRPr="00036A76">
              <w:rPr>
                <w:rFonts w:eastAsia="Calibri"/>
                <w:sz w:val="22"/>
                <w:szCs w:val="22"/>
              </w:rPr>
              <w:lastRenderedPageBreak/>
              <w:t>Konfekcija Pionir a.d. Prnjavor – u stečaju</w:t>
            </w:r>
          </w:p>
        </w:tc>
        <w:tc>
          <w:tcPr>
            <w:tcW w:w="1806" w:type="dxa"/>
            <w:shd w:val="clear" w:color="auto" w:fill="auto"/>
            <w:vAlign w:val="center"/>
          </w:tcPr>
          <w:p w:rsidR="00125BCC" w:rsidRPr="00036A76" w:rsidRDefault="00125BCC" w:rsidP="00125BCC">
            <w:pPr>
              <w:ind w:left="0" w:firstLine="0"/>
              <w:contextualSpacing/>
              <w:jc w:val="center"/>
              <w:rPr>
                <w:rFonts w:eastAsia="Calibri"/>
                <w:sz w:val="22"/>
                <w:szCs w:val="22"/>
              </w:rPr>
            </w:pPr>
            <w:r w:rsidRPr="00036A76">
              <w:rPr>
                <w:rFonts w:eastAsia="Calibri"/>
                <w:sz w:val="22"/>
                <w:szCs w:val="22"/>
              </w:rPr>
              <w:t>KPPR-R-A</w:t>
            </w:r>
          </w:p>
        </w:tc>
        <w:tc>
          <w:tcPr>
            <w:tcW w:w="1605" w:type="dxa"/>
            <w:shd w:val="clear" w:color="auto" w:fill="auto"/>
            <w:vAlign w:val="center"/>
          </w:tcPr>
          <w:p w:rsidR="00125BCC" w:rsidRPr="00036A76" w:rsidRDefault="00125BCC" w:rsidP="00125BCC">
            <w:pPr>
              <w:ind w:left="0" w:firstLine="0"/>
              <w:jc w:val="center"/>
              <w:rPr>
                <w:rFonts w:eastAsia="Calibri"/>
                <w:sz w:val="22"/>
                <w:szCs w:val="22"/>
              </w:rPr>
            </w:pPr>
            <w:r w:rsidRPr="00036A76">
              <w:rPr>
                <w:rFonts w:eastAsia="Calibri"/>
                <w:sz w:val="22"/>
                <w:szCs w:val="22"/>
              </w:rPr>
              <w:t>681.341</w:t>
            </w:r>
          </w:p>
        </w:tc>
        <w:tc>
          <w:tcPr>
            <w:tcW w:w="2005" w:type="dxa"/>
            <w:shd w:val="clear" w:color="auto" w:fill="auto"/>
            <w:vAlign w:val="center"/>
          </w:tcPr>
          <w:p w:rsidR="00125BCC" w:rsidRPr="00036A76" w:rsidRDefault="00125BCC" w:rsidP="00125BCC">
            <w:pPr>
              <w:ind w:left="0" w:firstLine="0"/>
              <w:jc w:val="center"/>
              <w:rPr>
                <w:rFonts w:eastAsia="Calibri"/>
                <w:bCs/>
                <w:sz w:val="22"/>
                <w:szCs w:val="22"/>
                <w:shd w:val="clear" w:color="auto" w:fill="FFFFFF"/>
              </w:rPr>
            </w:pPr>
            <w:r w:rsidRPr="00036A76">
              <w:rPr>
                <w:rFonts w:eastAsia="Calibri"/>
                <w:bCs/>
                <w:sz w:val="22"/>
                <w:szCs w:val="22"/>
                <w:shd w:val="clear" w:color="auto" w:fill="FFFFFF"/>
              </w:rPr>
              <w:t>8,566444</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GP Rad a.d. Bijeljina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RADB-R-A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159.263</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4,091181</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Rasklopna Oprema a.d. Istočno Sarajevo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RAOP-R-A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430.250</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1,235245</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Ratarstvo a.d. Nova Topola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RATA-R-A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24.484</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0,144089</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Rudnik Miljevina a.d. Miljevina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RMUM-R-A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1.969.609</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5,189412</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Romanija a.d. Sokolac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ROMN-R-A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2.308.116</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10,077693</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VP Sava a.d. Gradiška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SAVA-R-B</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83.234</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0,744351</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Sava a.d. Bijeljina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SVBN-R-A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333.660</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2,106176</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Trgovina Lopare a.d. Lopare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TRGL-R-A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595.051</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25,283587</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Termal a.d. Lopare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TRML-R-A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495.493</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7,012859</w:t>
            </w:r>
          </w:p>
        </w:tc>
      </w:tr>
      <w:tr w:rsidR="00125BCC" w:rsidRPr="00036A76" w:rsidTr="00125BCC">
        <w:tc>
          <w:tcPr>
            <w:tcW w:w="3134" w:type="dxa"/>
            <w:shd w:val="clear" w:color="auto" w:fill="auto"/>
            <w:vAlign w:val="center"/>
          </w:tcPr>
          <w:p w:rsidR="00125BCC" w:rsidRPr="00036A76" w:rsidRDefault="00125BCC" w:rsidP="00787406">
            <w:pPr>
              <w:ind w:left="0" w:firstLine="0"/>
              <w:contextualSpacing/>
              <w:jc w:val="left"/>
              <w:rPr>
                <w:rFonts w:eastAsia="Calibri"/>
                <w:sz w:val="22"/>
                <w:szCs w:val="22"/>
              </w:rPr>
            </w:pPr>
            <w:r w:rsidRPr="00036A76">
              <w:rPr>
                <w:rFonts w:eastAsia="Calibri"/>
                <w:sz w:val="22"/>
                <w:szCs w:val="22"/>
              </w:rPr>
              <w:t>Žitoprodukt a.d. Banja Luka – u stečaju</w:t>
            </w:r>
          </w:p>
        </w:tc>
        <w:tc>
          <w:tcPr>
            <w:tcW w:w="1806"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ZPBL-R-A</w:t>
            </w:r>
          </w:p>
        </w:tc>
        <w:tc>
          <w:tcPr>
            <w:tcW w:w="1605" w:type="dxa"/>
            <w:shd w:val="clear" w:color="auto" w:fill="auto"/>
            <w:vAlign w:val="center"/>
          </w:tcPr>
          <w:p w:rsidR="00125BCC" w:rsidRPr="00036A76" w:rsidRDefault="00125BCC" w:rsidP="00787406">
            <w:pPr>
              <w:ind w:left="0" w:firstLine="0"/>
              <w:contextualSpacing/>
              <w:jc w:val="center"/>
              <w:rPr>
                <w:rFonts w:eastAsia="Calibri"/>
                <w:sz w:val="22"/>
                <w:szCs w:val="22"/>
              </w:rPr>
            </w:pPr>
            <w:r w:rsidRPr="00036A76">
              <w:rPr>
                <w:rFonts w:eastAsia="Calibri"/>
                <w:sz w:val="22"/>
                <w:szCs w:val="22"/>
              </w:rPr>
              <w:t>263.993</w:t>
            </w:r>
          </w:p>
        </w:tc>
        <w:tc>
          <w:tcPr>
            <w:tcW w:w="2005" w:type="dxa"/>
            <w:shd w:val="clear" w:color="auto" w:fill="auto"/>
            <w:vAlign w:val="center"/>
          </w:tcPr>
          <w:p w:rsidR="00125BCC" w:rsidRPr="00036A76" w:rsidRDefault="00125BCC" w:rsidP="00787406">
            <w:pPr>
              <w:ind w:left="0" w:firstLine="0"/>
              <w:contextualSpacing/>
              <w:jc w:val="center"/>
              <w:rPr>
                <w:rFonts w:eastAsia="Calibri"/>
                <w:bCs/>
                <w:sz w:val="22"/>
                <w:szCs w:val="22"/>
                <w:shd w:val="clear" w:color="auto" w:fill="FFFFFF"/>
              </w:rPr>
            </w:pPr>
            <w:r w:rsidRPr="00036A76">
              <w:rPr>
                <w:rFonts w:eastAsia="Calibri"/>
                <w:bCs/>
                <w:sz w:val="22"/>
                <w:szCs w:val="22"/>
                <w:shd w:val="clear" w:color="auto" w:fill="FFFFFF"/>
              </w:rPr>
              <w:t>0,781406</w:t>
            </w:r>
          </w:p>
        </w:tc>
      </w:tr>
    </w:tbl>
    <w:p w:rsidR="00125BCC" w:rsidRPr="00036A76" w:rsidRDefault="00125BCC" w:rsidP="00787406">
      <w:pPr>
        <w:ind w:left="0" w:firstLine="0"/>
        <w:contextualSpacing/>
        <w:jc w:val="left"/>
        <w:rPr>
          <w:b/>
          <w:bCs/>
          <w:sz w:val="26"/>
          <w:szCs w:val="26"/>
        </w:rPr>
      </w:pPr>
    </w:p>
    <w:p w:rsidR="00125BCC" w:rsidRPr="00036A76" w:rsidRDefault="00125BCC" w:rsidP="00787406">
      <w:pPr>
        <w:ind w:left="0" w:firstLine="0"/>
        <w:contextualSpacing/>
        <w:jc w:val="left"/>
        <w:rPr>
          <w:b/>
          <w:bCs/>
          <w:sz w:val="26"/>
          <w:szCs w:val="26"/>
        </w:rPr>
      </w:pPr>
    </w:p>
    <w:p w:rsidR="000E73E8" w:rsidRPr="00036A76" w:rsidRDefault="000E73E8" w:rsidP="00787406">
      <w:pPr>
        <w:ind w:left="0" w:firstLine="0"/>
        <w:contextualSpacing/>
        <w:rPr>
          <w:bCs/>
        </w:rPr>
      </w:pPr>
    </w:p>
    <w:p w:rsidR="00125BCC" w:rsidRPr="00036A76" w:rsidRDefault="00125BCC" w:rsidP="00787406">
      <w:pPr>
        <w:ind w:left="0" w:firstLine="0"/>
        <w:contextualSpacing/>
        <w:rPr>
          <w:bCs/>
        </w:rPr>
      </w:pPr>
      <w:r w:rsidRPr="00036A76">
        <w:rPr>
          <w:bCs/>
        </w:rPr>
        <w:t xml:space="preserve">Društva koja nisu u stečaju ali su u teškom finansijskom položaju ili nisu korporatizovana, u kojima Fond ima udio u kapitalu - Dalje pogoršanje njihovog poslovanja može da ima značajan uticaj na procjenu imovine, finansijski položaj i gubitke Fonda. </w:t>
      </w:r>
    </w:p>
    <w:p w:rsidR="003E3BB9" w:rsidRPr="00036A76" w:rsidRDefault="003E3BB9" w:rsidP="00787406">
      <w:pPr>
        <w:ind w:left="0" w:firstLine="0"/>
        <w:contextualSpacing/>
        <w:rPr>
          <w:bCs/>
        </w:rPr>
      </w:pPr>
    </w:p>
    <w:p w:rsidR="00125BCC" w:rsidRPr="00036A76" w:rsidRDefault="00125BCC" w:rsidP="00125BCC">
      <w:pPr>
        <w:ind w:left="0" w:firstLine="0"/>
        <w:contextualSpacing/>
        <w:jc w:val="left"/>
        <w:rPr>
          <w:bCs/>
          <w:sz w:val="22"/>
          <w:szCs w:val="22"/>
        </w:rPr>
      </w:pPr>
      <w:r w:rsidRPr="00036A76">
        <w:rPr>
          <w:bCs/>
          <w:sz w:val="22"/>
          <w:szCs w:val="22"/>
        </w:rPr>
        <w:t>Struktura ulaganja Fonda</w:t>
      </w:r>
      <w:r w:rsidR="00725E33" w:rsidRPr="00036A76">
        <w:rPr>
          <w:bCs/>
          <w:sz w:val="22"/>
          <w:szCs w:val="22"/>
        </w:rPr>
        <w:t xml:space="preserve"> po vrstama imovine na dan 31.12</w:t>
      </w:r>
      <w:r w:rsidRPr="00036A76">
        <w:rPr>
          <w:bCs/>
          <w:sz w:val="22"/>
          <w:szCs w:val="22"/>
        </w:rPr>
        <w:t>.2016. godine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182"/>
        <w:gridCol w:w="2218"/>
        <w:gridCol w:w="2070"/>
      </w:tblGrid>
      <w:tr w:rsidR="00125BCC" w:rsidRPr="00036A76" w:rsidTr="00125BCC">
        <w:tc>
          <w:tcPr>
            <w:tcW w:w="64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red</w:t>
            </w:r>
          </w:p>
        </w:tc>
        <w:tc>
          <w:tcPr>
            <w:tcW w:w="3182"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opis</w:t>
            </w:r>
          </w:p>
        </w:tc>
        <w:tc>
          <w:tcPr>
            <w:tcW w:w="221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 xml:space="preserve">Ukupna vrijednost na dan izvještavanja </w:t>
            </w:r>
          </w:p>
        </w:tc>
        <w:tc>
          <w:tcPr>
            <w:tcW w:w="2070"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Učešće u vrijednosti imovine fonda (%)</w:t>
            </w:r>
          </w:p>
        </w:tc>
      </w:tr>
      <w:tr w:rsidR="00125BCC" w:rsidRPr="00036A76" w:rsidTr="00125BCC">
        <w:tc>
          <w:tcPr>
            <w:tcW w:w="64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1</w:t>
            </w:r>
          </w:p>
        </w:tc>
        <w:tc>
          <w:tcPr>
            <w:tcW w:w="3182"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akcije</w:t>
            </w:r>
          </w:p>
        </w:tc>
        <w:tc>
          <w:tcPr>
            <w:tcW w:w="221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19.609.804,56</w:t>
            </w:r>
          </w:p>
        </w:tc>
        <w:tc>
          <w:tcPr>
            <w:tcW w:w="2070"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76,1588</w:t>
            </w:r>
          </w:p>
        </w:tc>
      </w:tr>
      <w:tr w:rsidR="00125BCC" w:rsidRPr="00036A76" w:rsidTr="00125BCC">
        <w:tc>
          <w:tcPr>
            <w:tcW w:w="64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2</w:t>
            </w:r>
          </w:p>
        </w:tc>
        <w:tc>
          <w:tcPr>
            <w:tcW w:w="3182"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obveznice</w:t>
            </w:r>
          </w:p>
        </w:tc>
        <w:tc>
          <w:tcPr>
            <w:tcW w:w="221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4.569.012,30</w:t>
            </w:r>
          </w:p>
        </w:tc>
        <w:tc>
          <w:tcPr>
            <w:tcW w:w="2070"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17,7447</w:t>
            </w:r>
          </w:p>
        </w:tc>
      </w:tr>
      <w:tr w:rsidR="00125BCC" w:rsidRPr="00036A76" w:rsidTr="00125BCC">
        <w:tc>
          <w:tcPr>
            <w:tcW w:w="64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3</w:t>
            </w:r>
          </w:p>
        </w:tc>
        <w:tc>
          <w:tcPr>
            <w:tcW w:w="3182"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ostale hartije od vrijednosti</w:t>
            </w:r>
          </w:p>
        </w:tc>
        <w:tc>
          <w:tcPr>
            <w:tcW w:w="221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920.575,90</w:t>
            </w:r>
          </w:p>
        </w:tc>
        <w:tc>
          <w:tcPr>
            <w:tcW w:w="2070"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3,5753</w:t>
            </w:r>
          </w:p>
        </w:tc>
      </w:tr>
      <w:tr w:rsidR="00125BCC" w:rsidRPr="00036A76" w:rsidTr="00125BCC">
        <w:tc>
          <w:tcPr>
            <w:tcW w:w="64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4</w:t>
            </w:r>
          </w:p>
        </w:tc>
        <w:tc>
          <w:tcPr>
            <w:tcW w:w="3182"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depoziti i plasmani</w:t>
            </w:r>
          </w:p>
        </w:tc>
        <w:tc>
          <w:tcPr>
            <w:tcW w:w="221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0,00</w:t>
            </w:r>
          </w:p>
        </w:tc>
        <w:tc>
          <w:tcPr>
            <w:tcW w:w="2070"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0,00</w:t>
            </w:r>
          </w:p>
        </w:tc>
      </w:tr>
      <w:tr w:rsidR="00125BCC" w:rsidRPr="00036A76" w:rsidTr="00125BCC">
        <w:tc>
          <w:tcPr>
            <w:tcW w:w="64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5</w:t>
            </w:r>
          </w:p>
        </w:tc>
        <w:tc>
          <w:tcPr>
            <w:tcW w:w="3182"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gotovina i gotovinski ekvivalenti</w:t>
            </w:r>
          </w:p>
        </w:tc>
        <w:tc>
          <w:tcPr>
            <w:tcW w:w="221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633.699,74</w:t>
            </w:r>
          </w:p>
        </w:tc>
        <w:tc>
          <w:tcPr>
            <w:tcW w:w="2070"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2,4611</w:t>
            </w:r>
          </w:p>
        </w:tc>
      </w:tr>
      <w:tr w:rsidR="00125BCC" w:rsidRPr="00036A76" w:rsidTr="00125BCC">
        <w:tc>
          <w:tcPr>
            <w:tcW w:w="64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6</w:t>
            </w:r>
          </w:p>
        </w:tc>
        <w:tc>
          <w:tcPr>
            <w:tcW w:w="3182"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nekretnine</w:t>
            </w:r>
          </w:p>
        </w:tc>
        <w:tc>
          <w:tcPr>
            <w:tcW w:w="221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0,00</w:t>
            </w:r>
          </w:p>
        </w:tc>
        <w:tc>
          <w:tcPr>
            <w:tcW w:w="2070"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0,00</w:t>
            </w:r>
          </w:p>
        </w:tc>
      </w:tr>
      <w:tr w:rsidR="00125BCC" w:rsidRPr="00036A76" w:rsidTr="00125BCC">
        <w:tc>
          <w:tcPr>
            <w:tcW w:w="64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p>
        </w:tc>
        <w:tc>
          <w:tcPr>
            <w:tcW w:w="3182"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ukupno</w:t>
            </w:r>
          </w:p>
        </w:tc>
        <w:tc>
          <w:tcPr>
            <w:tcW w:w="2218"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25.733.092,50</w:t>
            </w:r>
          </w:p>
        </w:tc>
        <w:tc>
          <w:tcPr>
            <w:tcW w:w="2070" w:type="dxa"/>
          </w:tcPr>
          <w:p w:rsidR="00125BCC" w:rsidRPr="00036A76" w:rsidRDefault="00125BCC" w:rsidP="00125BCC">
            <w:pPr>
              <w:tabs>
                <w:tab w:val="center" w:pos="4320"/>
                <w:tab w:val="right" w:pos="8640"/>
              </w:tabs>
              <w:autoSpaceDE w:val="0"/>
              <w:autoSpaceDN w:val="0"/>
              <w:adjustRightInd w:val="0"/>
              <w:ind w:left="0" w:firstLine="0"/>
              <w:contextualSpacing/>
              <w:jc w:val="left"/>
              <w:rPr>
                <w:sz w:val="22"/>
                <w:szCs w:val="22"/>
              </w:rPr>
            </w:pPr>
            <w:r w:rsidRPr="00036A76">
              <w:rPr>
                <w:sz w:val="22"/>
                <w:szCs w:val="22"/>
              </w:rPr>
              <w:t>99,9399</w:t>
            </w:r>
          </w:p>
        </w:tc>
      </w:tr>
    </w:tbl>
    <w:p w:rsidR="00B5457E" w:rsidRPr="00036A76" w:rsidRDefault="00B5457E" w:rsidP="00125BCC">
      <w:pPr>
        <w:autoSpaceDE w:val="0"/>
        <w:autoSpaceDN w:val="0"/>
        <w:adjustRightInd w:val="0"/>
        <w:ind w:left="0" w:firstLine="0"/>
        <w:contextualSpacing/>
        <w:jc w:val="left"/>
        <w:rPr>
          <w:color w:val="FF0000"/>
        </w:rPr>
      </w:pPr>
    </w:p>
    <w:p w:rsidR="00395D0A" w:rsidRPr="00036A76" w:rsidRDefault="00395D0A" w:rsidP="00F553CF">
      <w:pPr>
        <w:pStyle w:val="ListParagraph"/>
        <w:numPr>
          <w:ilvl w:val="0"/>
          <w:numId w:val="10"/>
        </w:numPr>
        <w:jc w:val="left"/>
        <w:rPr>
          <w:b/>
          <w:bCs/>
        </w:rPr>
      </w:pPr>
      <w:r w:rsidRPr="00036A76">
        <w:rPr>
          <w:b/>
          <w:bCs/>
        </w:rPr>
        <w:t>CILJEVI I POLITIKA ULAGANJA</w:t>
      </w:r>
    </w:p>
    <w:p w:rsidR="00E14E05" w:rsidRPr="00036A76" w:rsidRDefault="00395D0A" w:rsidP="00E14E05">
      <w:pPr>
        <w:pStyle w:val="ListParagraph"/>
        <w:ind w:firstLine="0"/>
        <w:rPr>
          <w:lang w:val="sr-Latn-BA"/>
        </w:rPr>
      </w:pPr>
      <w:r w:rsidRPr="00036A76">
        <w:rPr>
          <w:lang w:val="sr-Latn-BA"/>
        </w:rPr>
        <w:t>(DETALJAN OPIS POLITIKE ULAGANJA, NAJVEĆI I NAJMANJI DIO SREDSTAVA INVESTICIONOG FONDA KOJI SE MOŽE ULAGATI U POJEDINE OBLIKE IMOVINE, NAJVEĆI DIO SREDSTAVA KOJI SE MOŽE DRŽATI NA NOVČANOM RAČUNU INVESTICIONOG FONDA I NAČIN IZMJENE INVESTICIONE POLITIKE)</w:t>
      </w:r>
    </w:p>
    <w:p w:rsidR="00FF1EB6" w:rsidRPr="00036A76" w:rsidRDefault="00FF1EB6" w:rsidP="00E14E05">
      <w:pPr>
        <w:pStyle w:val="ListParagraph"/>
        <w:ind w:firstLine="0"/>
        <w:rPr>
          <w:lang w:val="sr-Latn-BA"/>
        </w:rPr>
      </w:pPr>
    </w:p>
    <w:p w:rsidR="00751770" w:rsidRPr="00036A76" w:rsidRDefault="00751770" w:rsidP="00751770">
      <w:pPr>
        <w:pStyle w:val="BodyText"/>
        <w:contextualSpacing/>
      </w:pPr>
      <w:r w:rsidRPr="00036A76">
        <w:t>Investicioni cilj Fonda je likvidacija Fonda.</w:t>
      </w:r>
    </w:p>
    <w:p w:rsidR="00751770" w:rsidRPr="00036A76" w:rsidRDefault="00751770" w:rsidP="00751770">
      <w:pPr>
        <w:pStyle w:val="BodyText"/>
        <w:contextualSpacing/>
      </w:pPr>
      <w:r w:rsidRPr="00036A76">
        <w:t xml:space="preserve">Fond će nastojati da iz svoga portfelja proda hartije od vrijednosti u emitentima koji nisu u </w:t>
      </w:r>
      <w:r w:rsidR="003B3E99" w:rsidRPr="00036A76">
        <w:t>postupku stečaja, radi obezbje</w:t>
      </w:r>
      <w:r w:rsidR="003B3E99" w:rsidRPr="00036A76">
        <w:rPr>
          <w:lang w:val="sr-Latn-BA"/>
        </w:rPr>
        <w:t>đ</w:t>
      </w:r>
      <w:r w:rsidRPr="00036A76">
        <w:t xml:space="preserve">ivanja potrebnih novčanih sredstava za izmirenje tekućih obaveza, u periodu od njegovog preoblikovanja do njegove likvidacije. </w:t>
      </w:r>
    </w:p>
    <w:p w:rsidR="00751770" w:rsidRPr="00036A76" w:rsidRDefault="00751770" w:rsidP="00751770">
      <w:pPr>
        <w:pStyle w:val="BodyText"/>
        <w:contextualSpacing/>
      </w:pPr>
      <w:r w:rsidRPr="00036A76">
        <w:t xml:space="preserve">Investicioni cilj Fonda će se ostvariti putem investicione </w:t>
      </w:r>
      <w:r w:rsidR="003B3E99" w:rsidRPr="00036A76">
        <w:t>politike, koju će u ime i za ra</w:t>
      </w:r>
      <w:r w:rsidRPr="00036A76">
        <w:t xml:space="preserve">čun Fonda voditi Društvo za upravljanje.           </w:t>
      </w:r>
    </w:p>
    <w:p w:rsidR="00751770" w:rsidRPr="00036A76" w:rsidRDefault="00751770" w:rsidP="00751770">
      <w:pPr>
        <w:pStyle w:val="BodyText"/>
        <w:contextualSpacing/>
      </w:pPr>
      <w:r w:rsidRPr="00036A76">
        <w:lastRenderedPageBreak/>
        <w:t>Imajući u vidu strukturu portfelja Fonda, u kome se uglavnom nalaze hartije od vrijednosti emitenata nad kojima je otvoren postupak stečaja, ili hartije od vrijednosti emitenata koji su prestali sa  obavljajanjem privredne aktivnosti, investiciona politika Fonda će se prilagoditi ovakvoj strukturi i nelikvidnom portfelju, sa planom da se Fond likvidira u što kraćem roku</w:t>
      </w:r>
      <w:r w:rsidR="00DF282B">
        <w:rPr>
          <w:lang w:val="sr-Latn-BA"/>
        </w:rPr>
        <w:t>.</w:t>
      </w:r>
      <w:r w:rsidRPr="00036A76">
        <w:t xml:space="preserve">  </w:t>
      </w:r>
    </w:p>
    <w:p w:rsidR="00751770" w:rsidRPr="00036A76" w:rsidRDefault="00751770" w:rsidP="00751770">
      <w:pPr>
        <w:pStyle w:val="BodyText"/>
        <w:contextualSpacing/>
      </w:pPr>
      <w:r w:rsidRPr="00036A76">
        <w:t>Izdvajanjem likvidnog dijela portfelja u otvoreni investicioni Fond, u zatvorenom investicionom Fondu će ostati nelikvidne hartije od vrijednosti, i najveći dio ulaganja koja su vrednovana sa 0,00 KM u mjesečnim izvještajima o obračunu neto imovine Fonda, tako da se investicionom politikom Fonda ne može ostvariti prinos za redovno poslovanje Fonda.</w:t>
      </w:r>
    </w:p>
    <w:p w:rsidR="00751770" w:rsidRPr="00036A76" w:rsidRDefault="00751770" w:rsidP="00751770">
      <w:pPr>
        <w:pStyle w:val="BodyText"/>
        <w:contextualSpacing/>
      </w:pPr>
      <w:r w:rsidRPr="00036A76">
        <w:t>Fond će svoje tekuće obaveze zmirivati iz gotovine koja se zatekne na njegovim transakcionim računima nakon izdvajanja dijela njegove imovine u otvoreni investicioni Fond</w:t>
      </w:r>
    </w:p>
    <w:p w:rsidR="00751770" w:rsidRPr="00036A76" w:rsidRDefault="00751770" w:rsidP="00751770">
      <w:pPr>
        <w:pStyle w:val="BodyText"/>
        <w:contextualSpacing/>
      </w:pPr>
      <w:r w:rsidRPr="00036A76">
        <w:t>Investicionom politikom Fonda će se stvarati zakonske pretpostavke za njegovu likvidaciju u što kraćem roku.</w:t>
      </w:r>
    </w:p>
    <w:p w:rsidR="00751770" w:rsidRPr="00036A76" w:rsidRDefault="00751770" w:rsidP="00751770">
      <w:pPr>
        <w:pStyle w:val="BodyText"/>
        <w:contextualSpacing/>
        <w:rPr>
          <w:lang w:val="sr-Latn-BA"/>
        </w:rPr>
      </w:pPr>
      <w:r w:rsidRPr="00036A76">
        <w:t xml:space="preserve">Novčana sredstva i potraživanja koja ostanu u Fondu nakon njegovog djelimičnog preoblikovanja će isključivo služiti za tekuće finansiranje obaveza Fonda, a njegovo trajanje će zavisiti od raspoloživih novčanih sredstava i visine očekivanih novčanih prihoda, pošto se Fond ne može zaduživati da bi izmirivao tekuće obaveze. </w:t>
      </w:r>
    </w:p>
    <w:p w:rsidR="00D8736B" w:rsidRPr="00036A76" w:rsidRDefault="00D8736B" w:rsidP="00751770">
      <w:pPr>
        <w:pStyle w:val="BodyText"/>
        <w:contextualSpacing/>
        <w:rPr>
          <w:lang w:val="sr-Latn-BA"/>
        </w:rPr>
      </w:pPr>
    </w:p>
    <w:p w:rsidR="00751770" w:rsidRPr="00036A76" w:rsidRDefault="00751770" w:rsidP="00751770">
      <w:pPr>
        <w:pStyle w:val="BodyText"/>
        <w:contextualSpacing/>
      </w:pPr>
      <w:r w:rsidRPr="00036A76">
        <w:t xml:space="preserve">Imovina Fonda se </w:t>
      </w:r>
      <w:r w:rsidR="00D8736B" w:rsidRPr="00036A76">
        <w:t>može sastoj</w:t>
      </w:r>
      <w:r w:rsidR="00D8736B" w:rsidRPr="00036A76">
        <w:rPr>
          <w:lang w:val="sr-Latn-BA"/>
        </w:rPr>
        <w:t xml:space="preserve">ati </w:t>
      </w:r>
      <w:r w:rsidRPr="00036A76">
        <w:t>isključivo od:</w:t>
      </w:r>
    </w:p>
    <w:p w:rsidR="00751770" w:rsidRPr="00036A76" w:rsidRDefault="00751770" w:rsidP="00751770">
      <w:pPr>
        <w:pStyle w:val="BodyText"/>
        <w:numPr>
          <w:ilvl w:val="0"/>
          <w:numId w:val="11"/>
        </w:numPr>
        <w:contextualSpacing/>
      </w:pPr>
      <w:r w:rsidRPr="00036A76">
        <w:t>Hartija od vrijednosti, ili instrumenata tržišta novca, kojima se trguje na uređenim tržištima Republike Srpske, Federacije BiH i država članica EU.</w:t>
      </w:r>
    </w:p>
    <w:p w:rsidR="00751770" w:rsidRPr="00036A76" w:rsidRDefault="00751770" w:rsidP="00751770">
      <w:pPr>
        <w:pStyle w:val="BodyText"/>
        <w:numPr>
          <w:ilvl w:val="0"/>
          <w:numId w:val="11"/>
        </w:numPr>
        <w:contextualSpacing/>
      </w:pPr>
      <w:r w:rsidRPr="00036A76">
        <w:t>Dužničkih hartija od vrijednosti, koje emituju Republika Srpska, Federacija BiH i jedinice lokalne uprave u Republici Srpskoj,</w:t>
      </w:r>
    </w:p>
    <w:p w:rsidR="00751770" w:rsidRPr="00036A76" w:rsidRDefault="00751770" w:rsidP="00751770">
      <w:pPr>
        <w:pStyle w:val="BodyText"/>
        <w:numPr>
          <w:ilvl w:val="0"/>
          <w:numId w:val="11"/>
        </w:numPr>
        <w:contextualSpacing/>
      </w:pPr>
      <w:r w:rsidRPr="00036A76">
        <w:t>Dužničkih hartija od vrijednosti, koje izdaju pravna lica sa sjedištem u Republici Srpskoj i u Federaciji BiH, najviše do 10,00% imovine Fonda,</w:t>
      </w:r>
    </w:p>
    <w:p w:rsidR="00751770" w:rsidRPr="00036A76" w:rsidRDefault="00751770" w:rsidP="00751770">
      <w:pPr>
        <w:pStyle w:val="BodyText"/>
        <w:numPr>
          <w:ilvl w:val="0"/>
          <w:numId w:val="11"/>
        </w:numPr>
        <w:contextualSpacing/>
      </w:pPr>
      <w:r w:rsidRPr="00036A76">
        <w:t xml:space="preserve">Udjela ili akcija investicionih fondova, kojima se trguje na berzama, ili na drugim uređenim - organizovanim tržištima u: Republici Srpskoj, Federaciji BiH, država članica EU i CEFTA, </w:t>
      </w:r>
    </w:p>
    <w:p w:rsidR="00751770" w:rsidRPr="00036A76" w:rsidRDefault="00751770" w:rsidP="00751770">
      <w:pPr>
        <w:pStyle w:val="BodyText"/>
        <w:numPr>
          <w:ilvl w:val="0"/>
          <w:numId w:val="11"/>
        </w:numPr>
        <w:contextualSpacing/>
      </w:pPr>
      <w:r w:rsidRPr="00036A76">
        <w:t>Depozita i plasmana u poslovnim bankama, sa sjedištem u Republici Srpskoj i u Federaciji BiH i</w:t>
      </w:r>
    </w:p>
    <w:p w:rsidR="00751770" w:rsidRPr="00036A76" w:rsidRDefault="00751770" w:rsidP="00751770">
      <w:pPr>
        <w:pStyle w:val="BodyText"/>
        <w:numPr>
          <w:ilvl w:val="0"/>
          <w:numId w:val="11"/>
        </w:numPr>
        <w:contextualSpacing/>
      </w:pPr>
      <w:r w:rsidRPr="00036A76">
        <w:t xml:space="preserve">Gotovine i gotovinskih ekvivalenata.  </w:t>
      </w:r>
    </w:p>
    <w:p w:rsidR="00166424" w:rsidRPr="00036A76" w:rsidRDefault="00166424" w:rsidP="00757A8C">
      <w:pPr>
        <w:pStyle w:val="BodyText"/>
        <w:contextualSpacing/>
        <w:rPr>
          <w:lang w:val="sr-Latn-BA"/>
        </w:rPr>
      </w:pPr>
    </w:p>
    <w:p w:rsidR="004B5F1F" w:rsidRPr="00036A76" w:rsidRDefault="004B5F1F" w:rsidP="00395D0A">
      <w:pPr>
        <w:ind w:left="0" w:firstLine="0"/>
        <w:rPr>
          <w:b/>
          <w:lang w:val="sr-Latn-BA"/>
        </w:rPr>
      </w:pPr>
      <w:r w:rsidRPr="00036A76">
        <w:rPr>
          <w:b/>
          <w:lang w:val="sr-Latn-BA"/>
        </w:rPr>
        <w:t xml:space="preserve">Naznaku da mu je investicioni </w:t>
      </w:r>
      <w:r w:rsidR="001B099E" w:rsidRPr="00036A76">
        <w:rPr>
          <w:b/>
          <w:lang w:val="sr-Latn-BA"/>
        </w:rPr>
        <w:t>cilj repliciranje indeksa, ako F</w:t>
      </w:r>
      <w:r w:rsidRPr="00036A76">
        <w:rPr>
          <w:b/>
          <w:lang w:val="sr-Latn-BA"/>
        </w:rPr>
        <w:t>ond nastoji replicirati neki akcijski indeks dužničkih hartija od vrijednosti:</w:t>
      </w:r>
    </w:p>
    <w:p w:rsidR="005C4F86" w:rsidRPr="00036A76" w:rsidRDefault="005C4F86" w:rsidP="00395D0A">
      <w:pPr>
        <w:ind w:left="0" w:firstLine="0"/>
        <w:contextualSpacing/>
      </w:pPr>
      <w:r w:rsidRPr="00036A76">
        <w:t>Investicioni cilj Fonda neće biti repliciranje indeksa.</w:t>
      </w:r>
    </w:p>
    <w:p w:rsidR="005C4F86" w:rsidRPr="00036A76" w:rsidRDefault="005C4F86" w:rsidP="00395D0A">
      <w:pPr>
        <w:ind w:left="0" w:firstLine="0"/>
        <w:contextualSpacing/>
      </w:pPr>
    </w:p>
    <w:p w:rsidR="002F528D" w:rsidRPr="00036A76" w:rsidRDefault="002F528D" w:rsidP="00395D0A">
      <w:pPr>
        <w:ind w:left="0" w:firstLine="0"/>
        <w:contextualSpacing/>
        <w:rPr>
          <w:b/>
        </w:rPr>
      </w:pPr>
      <w:r w:rsidRPr="00036A76">
        <w:rPr>
          <w:b/>
        </w:rPr>
        <w:t>Ograničenja u zaduživanju i finansiranju zaduživanjem koja važe za zatvoreni investicioni fond:</w:t>
      </w:r>
    </w:p>
    <w:p w:rsidR="002F528D" w:rsidRPr="00036A76" w:rsidRDefault="002F528D" w:rsidP="00395D0A">
      <w:pPr>
        <w:ind w:left="0" w:firstLine="0"/>
        <w:contextualSpacing/>
      </w:pPr>
      <w:r w:rsidRPr="00036A76">
        <w:t>Fond se ne može kreditno zaduživati kod poslovnih banaka i kod drugih finansijskih organizacija.</w:t>
      </w:r>
    </w:p>
    <w:p w:rsidR="002F528D" w:rsidRPr="00036A76" w:rsidRDefault="002F528D" w:rsidP="00395D0A">
      <w:pPr>
        <w:ind w:left="0" w:firstLine="0"/>
        <w:contextualSpacing/>
      </w:pPr>
    </w:p>
    <w:p w:rsidR="00395D0A" w:rsidRPr="00036A76" w:rsidRDefault="00395D0A" w:rsidP="00395D0A">
      <w:pPr>
        <w:ind w:left="0" w:firstLine="0"/>
        <w:contextualSpacing/>
        <w:rPr>
          <w:b/>
          <w:bCs/>
        </w:rPr>
      </w:pPr>
      <w:r w:rsidRPr="00036A76">
        <w:rPr>
          <w:b/>
          <w:bCs/>
        </w:rPr>
        <w:t>Regulatorni status Fonda i naziv regulatora koji nadzire osnivanje i rad Fonda</w:t>
      </w:r>
      <w:r w:rsidR="004B5F1F" w:rsidRPr="00036A76">
        <w:rPr>
          <w:b/>
          <w:bCs/>
        </w:rPr>
        <w:t>:</w:t>
      </w:r>
    </w:p>
    <w:p w:rsidR="00395D0A" w:rsidRPr="00036A76" w:rsidRDefault="00395D0A" w:rsidP="00395D0A">
      <w:pPr>
        <w:ind w:left="0" w:firstLine="0"/>
        <w:contextualSpacing/>
        <w:rPr>
          <w:bCs/>
        </w:rPr>
      </w:pPr>
      <w:r w:rsidRPr="00036A76">
        <w:rPr>
          <w:bCs/>
        </w:rPr>
        <w:t>Regulator za nadziranje osnivanja i rada Fonda je Komisija za hartije od vrijednosti Republike Srpske, Banja Luka.</w:t>
      </w:r>
    </w:p>
    <w:p w:rsidR="00395D0A" w:rsidRPr="00036A76" w:rsidRDefault="00395D0A" w:rsidP="00395D0A">
      <w:pPr>
        <w:ind w:left="0" w:firstLine="0"/>
        <w:contextualSpacing/>
        <w:rPr>
          <w:bCs/>
        </w:rPr>
      </w:pPr>
      <w:r w:rsidRPr="00036A76">
        <w:rPr>
          <w:bCs/>
        </w:rPr>
        <w:t>Komisija je nezavisno pravno lice osnovano radi uređivanja i kontrole emitovanja i prometa hartija od vrijednosti, čije su nadležnosti i obaveze utvrđene Zakonom o tržištu hartija od vrijednosti.</w:t>
      </w:r>
    </w:p>
    <w:p w:rsidR="00BC5B30" w:rsidRPr="00036A76" w:rsidRDefault="00BC5B30" w:rsidP="00395D0A">
      <w:pPr>
        <w:ind w:left="0" w:firstLine="0"/>
        <w:contextualSpacing/>
        <w:jc w:val="left"/>
        <w:rPr>
          <w:b/>
          <w:bCs/>
        </w:rPr>
      </w:pPr>
    </w:p>
    <w:p w:rsidR="004B5F1F" w:rsidRPr="00036A76" w:rsidRDefault="00044856" w:rsidP="00B86298">
      <w:pPr>
        <w:ind w:left="0" w:firstLine="0"/>
        <w:jc w:val="left"/>
        <w:rPr>
          <w:b/>
          <w:iCs/>
          <w:lang w:val="hr-HR"/>
        </w:rPr>
      </w:pPr>
      <w:r w:rsidRPr="00036A76">
        <w:rPr>
          <w:b/>
          <w:iCs/>
          <w:lang w:val="hr-HR"/>
        </w:rPr>
        <w:t>Istorijski prinos F</w:t>
      </w:r>
      <w:r w:rsidR="004B5F1F" w:rsidRPr="00036A76">
        <w:rPr>
          <w:b/>
          <w:iCs/>
          <w:lang w:val="hr-HR"/>
        </w:rPr>
        <w:t>onda i profil tipičnog investitora kome</w:t>
      </w:r>
      <w:r w:rsidRPr="00036A76">
        <w:rPr>
          <w:b/>
          <w:iCs/>
          <w:lang w:val="hr-HR"/>
        </w:rPr>
        <w:t xml:space="preserve"> je F</w:t>
      </w:r>
      <w:r w:rsidR="004B5F1F" w:rsidRPr="00036A76">
        <w:rPr>
          <w:b/>
          <w:iCs/>
          <w:lang w:val="hr-HR"/>
        </w:rPr>
        <w:t>ond namjenjen:</w:t>
      </w:r>
    </w:p>
    <w:p w:rsidR="00BC5B30" w:rsidRPr="00036A76" w:rsidRDefault="00BC5B30" w:rsidP="00BC5B30">
      <w:pPr>
        <w:ind w:left="0" w:firstLine="0"/>
        <w:rPr>
          <w:bCs/>
        </w:rPr>
      </w:pPr>
      <w:r w:rsidRPr="00036A76">
        <w:rPr>
          <w:bCs/>
        </w:rPr>
        <w:t>Istorijska</w:t>
      </w:r>
      <w:r w:rsidR="00044856" w:rsidRPr="00036A76">
        <w:rPr>
          <w:bCs/>
        </w:rPr>
        <w:t xml:space="preserve"> stopa prinosa na neto imovinu F</w:t>
      </w:r>
      <w:r w:rsidRPr="00036A76">
        <w:rPr>
          <w:bCs/>
        </w:rPr>
        <w:t>onda (KM)</w:t>
      </w:r>
    </w:p>
    <w:tbl>
      <w:tblPr>
        <w:tblW w:w="4800" w:type="dxa"/>
        <w:tblInd w:w="250" w:type="dxa"/>
        <w:tblLook w:val="04A0"/>
      </w:tblPr>
      <w:tblGrid>
        <w:gridCol w:w="960"/>
        <w:gridCol w:w="960"/>
        <w:gridCol w:w="960"/>
        <w:gridCol w:w="960"/>
        <w:gridCol w:w="960"/>
      </w:tblGrid>
      <w:tr w:rsidR="00BC5B30" w:rsidRPr="00036A76" w:rsidTr="00BC5B3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B30" w:rsidRPr="00036A76" w:rsidRDefault="00EF2CD7" w:rsidP="00BC5B30">
            <w:pPr>
              <w:ind w:left="0" w:firstLine="0"/>
              <w:contextualSpacing/>
              <w:rPr>
                <w:sz w:val="22"/>
                <w:szCs w:val="22"/>
                <w:lang w:eastAsia="sr-Latn-BA"/>
              </w:rPr>
            </w:pPr>
            <w:r w:rsidRPr="00036A76">
              <w:rPr>
                <w:sz w:val="22"/>
                <w:szCs w:val="22"/>
                <w:lang w:eastAsia="sr-Latn-BA"/>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5B30" w:rsidRPr="00036A76" w:rsidRDefault="00EF2CD7" w:rsidP="00BC5B30">
            <w:pPr>
              <w:ind w:left="0" w:firstLine="0"/>
              <w:contextualSpacing/>
              <w:rPr>
                <w:sz w:val="22"/>
                <w:szCs w:val="22"/>
                <w:lang w:eastAsia="sr-Latn-BA"/>
              </w:rPr>
            </w:pPr>
            <w:r w:rsidRPr="00036A76">
              <w:rPr>
                <w:sz w:val="22"/>
                <w:szCs w:val="22"/>
                <w:lang w:eastAsia="sr-Latn-BA"/>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5B30" w:rsidRPr="00036A76" w:rsidRDefault="00EF2CD7" w:rsidP="00BC5B30">
            <w:pPr>
              <w:ind w:left="0" w:firstLine="0"/>
              <w:contextualSpacing/>
              <w:rPr>
                <w:sz w:val="22"/>
                <w:szCs w:val="22"/>
                <w:lang w:eastAsia="sr-Latn-BA"/>
              </w:rPr>
            </w:pPr>
            <w:r w:rsidRPr="00036A76">
              <w:rPr>
                <w:sz w:val="22"/>
                <w:szCs w:val="22"/>
                <w:lang w:eastAsia="sr-Latn-BA"/>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5B30" w:rsidRPr="00036A76" w:rsidRDefault="00EF2CD7" w:rsidP="00BC5B30">
            <w:pPr>
              <w:ind w:left="0" w:firstLine="0"/>
              <w:contextualSpacing/>
              <w:rPr>
                <w:sz w:val="22"/>
                <w:szCs w:val="22"/>
                <w:lang w:eastAsia="sr-Latn-BA"/>
              </w:rPr>
            </w:pPr>
            <w:r w:rsidRPr="00036A76">
              <w:rPr>
                <w:sz w:val="22"/>
                <w:szCs w:val="22"/>
                <w:lang w:eastAsia="sr-Latn-BA"/>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5B30" w:rsidRPr="00036A76" w:rsidRDefault="00EF2CD7" w:rsidP="00BC5B30">
            <w:pPr>
              <w:ind w:left="0" w:firstLine="0"/>
              <w:contextualSpacing/>
              <w:rPr>
                <w:sz w:val="22"/>
                <w:szCs w:val="22"/>
                <w:lang w:eastAsia="sr-Latn-BA"/>
              </w:rPr>
            </w:pPr>
            <w:r w:rsidRPr="00036A76">
              <w:rPr>
                <w:sz w:val="22"/>
                <w:szCs w:val="22"/>
                <w:lang w:eastAsia="sr-Latn-BA"/>
              </w:rPr>
              <w:t>2012</w:t>
            </w:r>
          </w:p>
        </w:tc>
      </w:tr>
      <w:tr w:rsidR="00BC5B30" w:rsidRPr="00036A76" w:rsidTr="00BC5B3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5B30" w:rsidRPr="00036A76" w:rsidRDefault="00862CFC" w:rsidP="00BC5B30">
            <w:pPr>
              <w:ind w:left="0" w:firstLine="0"/>
              <w:contextualSpacing/>
              <w:rPr>
                <w:color w:val="000000"/>
                <w:sz w:val="22"/>
                <w:szCs w:val="22"/>
                <w:lang w:eastAsia="sr-Latn-BA"/>
              </w:rPr>
            </w:pPr>
            <w:r w:rsidRPr="00036A76">
              <w:rPr>
                <w:color w:val="000000"/>
                <w:sz w:val="22"/>
                <w:szCs w:val="22"/>
                <w:lang w:eastAsia="sr-Latn-BA"/>
              </w:rPr>
              <w:t>-1</w:t>
            </w:r>
            <w:r w:rsidR="00EF2CD7" w:rsidRPr="00036A76">
              <w:rPr>
                <w:color w:val="000000"/>
                <w:sz w:val="22"/>
                <w:szCs w:val="22"/>
                <w:lang w:eastAsia="sr-Latn-BA"/>
              </w:rPr>
              <w:t>1,46</w:t>
            </w:r>
          </w:p>
        </w:tc>
        <w:tc>
          <w:tcPr>
            <w:tcW w:w="960" w:type="dxa"/>
            <w:tcBorders>
              <w:top w:val="nil"/>
              <w:left w:val="nil"/>
              <w:bottom w:val="single" w:sz="4" w:space="0" w:color="auto"/>
              <w:right w:val="single" w:sz="4" w:space="0" w:color="auto"/>
            </w:tcBorders>
            <w:shd w:val="clear" w:color="auto" w:fill="auto"/>
            <w:noWrap/>
            <w:vAlign w:val="bottom"/>
            <w:hideMark/>
          </w:tcPr>
          <w:p w:rsidR="00BC5B30" w:rsidRPr="00036A76" w:rsidRDefault="00862CFC" w:rsidP="00BC5B30">
            <w:pPr>
              <w:ind w:left="0" w:firstLine="0"/>
              <w:contextualSpacing/>
              <w:rPr>
                <w:color w:val="000000"/>
                <w:sz w:val="22"/>
                <w:szCs w:val="22"/>
                <w:lang w:eastAsia="sr-Latn-BA"/>
              </w:rPr>
            </w:pPr>
            <w:r w:rsidRPr="00036A76">
              <w:rPr>
                <w:color w:val="000000"/>
                <w:sz w:val="22"/>
                <w:szCs w:val="22"/>
                <w:lang w:eastAsia="sr-Latn-BA"/>
              </w:rPr>
              <w:t>-</w:t>
            </w:r>
            <w:r w:rsidR="00EF2CD7" w:rsidRPr="00036A76">
              <w:rPr>
                <w:color w:val="000000"/>
                <w:sz w:val="22"/>
                <w:szCs w:val="22"/>
                <w:lang w:eastAsia="sr-Latn-BA"/>
              </w:rPr>
              <w:t>16,77</w:t>
            </w:r>
          </w:p>
        </w:tc>
        <w:tc>
          <w:tcPr>
            <w:tcW w:w="960" w:type="dxa"/>
            <w:tcBorders>
              <w:top w:val="nil"/>
              <w:left w:val="nil"/>
              <w:bottom w:val="single" w:sz="4" w:space="0" w:color="auto"/>
              <w:right w:val="single" w:sz="4" w:space="0" w:color="auto"/>
            </w:tcBorders>
            <w:shd w:val="clear" w:color="auto" w:fill="auto"/>
            <w:noWrap/>
            <w:vAlign w:val="bottom"/>
            <w:hideMark/>
          </w:tcPr>
          <w:p w:rsidR="00BC5B30" w:rsidRPr="00036A76" w:rsidRDefault="00EF2CD7" w:rsidP="00BC5B30">
            <w:pPr>
              <w:ind w:left="0" w:firstLine="0"/>
              <w:contextualSpacing/>
              <w:rPr>
                <w:color w:val="000000"/>
                <w:sz w:val="22"/>
                <w:szCs w:val="22"/>
                <w:lang w:eastAsia="sr-Latn-BA"/>
              </w:rPr>
            </w:pPr>
            <w:r w:rsidRPr="00036A76">
              <w:rPr>
                <w:color w:val="000000"/>
                <w:sz w:val="22"/>
                <w:szCs w:val="22"/>
                <w:lang w:eastAsia="sr-Latn-BA"/>
              </w:rPr>
              <w:t>-4,27</w:t>
            </w:r>
          </w:p>
        </w:tc>
        <w:tc>
          <w:tcPr>
            <w:tcW w:w="960" w:type="dxa"/>
            <w:tcBorders>
              <w:top w:val="nil"/>
              <w:left w:val="nil"/>
              <w:bottom w:val="single" w:sz="4" w:space="0" w:color="auto"/>
              <w:right w:val="single" w:sz="4" w:space="0" w:color="auto"/>
            </w:tcBorders>
            <w:shd w:val="clear" w:color="auto" w:fill="auto"/>
            <w:noWrap/>
            <w:vAlign w:val="bottom"/>
            <w:hideMark/>
          </w:tcPr>
          <w:p w:rsidR="00BC5B30" w:rsidRPr="00036A76" w:rsidRDefault="00EF2CD7" w:rsidP="00BC5B30">
            <w:pPr>
              <w:ind w:left="0" w:firstLine="0"/>
              <w:contextualSpacing/>
              <w:rPr>
                <w:color w:val="000000"/>
                <w:sz w:val="22"/>
                <w:szCs w:val="22"/>
                <w:lang w:eastAsia="sr-Latn-BA"/>
              </w:rPr>
            </w:pPr>
            <w:r w:rsidRPr="00036A76">
              <w:rPr>
                <w:color w:val="000000"/>
                <w:sz w:val="22"/>
                <w:szCs w:val="22"/>
                <w:lang w:eastAsia="sr-Latn-BA"/>
              </w:rPr>
              <w:t>2,91</w:t>
            </w:r>
          </w:p>
        </w:tc>
        <w:tc>
          <w:tcPr>
            <w:tcW w:w="960" w:type="dxa"/>
            <w:tcBorders>
              <w:top w:val="nil"/>
              <w:left w:val="nil"/>
              <w:bottom w:val="single" w:sz="4" w:space="0" w:color="auto"/>
              <w:right w:val="single" w:sz="4" w:space="0" w:color="auto"/>
            </w:tcBorders>
            <w:shd w:val="clear" w:color="auto" w:fill="auto"/>
            <w:noWrap/>
            <w:vAlign w:val="bottom"/>
            <w:hideMark/>
          </w:tcPr>
          <w:p w:rsidR="00BC5B30" w:rsidRPr="00036A76" w:rsidRDefault="00862CFC" w:rsidP="00BC5B30">
            <w:pPr>
              <w:ind w:left="0" w:firstLine="0"/>
              <w:contextualSpacing/>
              <w:rPr>
                <w:color w:val="000000"/>
                <w:sz w:val="22"/>
                <w:szCs w:val="22"/>
                <w:lang w:eastAsia="sr-Latn-BA"/>
              </w:rPr>
            </w:pPr>
            <w:r w:rsidRPr="00036A76">
              <w:rPr>
                <w:color w:val="000000"/>
                <w:sz w:val="22"/>
                <w:szCs w:val="22"/>
                <w:lang w:eastAsia="sr-Latn-BA"/>
              </w:rPr>
              <w:t>-</w:t>
            </w:r>
            <w:r w:rsidR="00666779" w:rsidRPr="00036A76">
              <w:rPr>
                <w:color w:val="000000"/>
                <w:sz w:val="22"/>
                <w:szCs w:val="22"/>
                <w:lang w:eastAsia="sr-Latn-BA"/>
              </w:rPr>
              <w:t>3,59</w:t>
            </w:r>
          </w:p>
        </w:tc>
      </w:tr>
    </w:tbl>
    <w:p w:rsidR="00BC5B30" w:rsidRPr="00036A76" w:rsidRDefault="00BC5B30" w:rsidP="00395D0A">
      <w:pPr>
        <w:ind w:left="0" w:firstLine="0"/>
        <w:contextualSpacing/>
        <w:jc w:val="left"/>
        <w:rPr>
          <w:b/>
          <w:bCs/>
        </w:rPr>
      </w:pPr>
    </w:p>
    <w:p w:rsidR="00860D12" w:rsidRPr="00036A76" w:rsidRDefault="00B65AD8" w:rsidP="00395D0A">
      <w:pPr>
        <w:autoSpaceDE w:val="0"/>
        <w:autoSpaceDN w:val="0"/>
        <w:adjustRightInd w:val="0"/>
        <w:ind w:left="0" w:firstLine="0"/>
        <w:contextualSpacing/>
        <w:rPr>
          <w:bCs/>
        </w:rPr>
      </w:pPr>
      <w:r w:rsidRPr="00036A76">
        <w:rPr>
          <w:bCs/>
        </w:rPr>
        <w:t xml:space="preserve">Za poslednjih pet godina </w:t>
      </w:r>
      <w:r w:rsidR="00994A8C" w:rsidRPr="00036A76">
        <w:rPr>
          <w:bCs/>
        </w:rPr>
        <w:t>F</w:t>
      </w:r>
      <w:r w:rsidR="008D3462" w:rsidRPr="00036A76">
        <w:rPr>
          <w:bCs/>
        </w:rPr>
        <w:t xml:space="preserve">ond je imao pozitivnu stopu prinosa samo u 2013. </w:t>
      </w:r>
      <w:r w:rsidR="00860D12" w:rsidRPr="00036A76">
        <w:rPr>
          <w:bCs/>
        </w:rPr>
        <w:t>g</w:t>
      </w:r>
      <w:r w:rsidR="002F528D" w:rsidRPr="00036A76">
        <w:rPr>
          <w:bCs/>
        </w:rPr>
        <w:t>odini i</w:t>
      </w:r>
      <w:r w:rsidR="008D3462" w:rsidRPr="00036A76">
        <w:rPr>
          <w:bCs/>
        </w:rPr>
        <w:t xml:space="preserve"> ona je iznosila </w:t>
      </w:r>
      <w:r w:rsidR="00BD62DE" w:rsidRPr="00036A76">
        <w:rPr>
          <w:bCs/>
        </w:rPr>
        <w:t>2,91%, dok su prinosi F</w:t>
      </w:r>
      <w:r w:rsidR="00860D12" w:rsidRPr="00036A76">
        <w:rPr>
          <w:bCs/>
        </w:rPr>
        <w:t>onda za četiri poslovne godine bili negativni.</w:t>
      </w:r>
    </w:p>
    <w:p w:rsidR="00860D12" w:rsidRPr="00036A76" w:rsidRDefault="00994A8C" w:rsidP="00395D0A">
      <w:pPr>
        <w:autoSpaceDE w:val="0"/>
        <w:autoSpaceDN w:val="0"/>
        <w:adjustRightInd w:val="0"/>
        <w:ind w:left="0" w:firstLine="0"/>
        <w:contextualSpacing/>
        <w:rPr>
          <w:bCs/>
        </w:rPr>
      </w:pPr>
      <w:r w:rsidRPr="00036A76">
        <w:rPr>
          <w:bCs/>
        </w:rPr>
        <w:t>Stopa prinosa u 2016</w:t>
      </w:r>
      <w:r w:rsidR="00860D12" w:rsidRPr="00036A76">
        <w:rPr>
          <w:bCs/>
        </w:rPr>
        <w:t>. godini je bil</w:t>
      </w:r>
      <w:r w:rsidRPr="00036A76">
        <w:rPr>
          <w:bCs/>
        </w:rPr>
        <w:t xml:space="preserve">a negativna i iznosila je 11,46 </w:t>
      </w:r>
      <w:r w:rsidR="00860D12" w:rsidRPr="00036A76">
        <w:rPr>
          <w:bCs/>
        </w:rPr>
        <w:t xml:space="preserve">%, u </w:t>
      </w:r>
      <w:r w:rsidR="00934046" w:rsidRPr="00036A76">
        <w:rPr>
          <w:bCs/>
        </w:rPr>
        <w:t>odnosu na nultu stopu od 100,00</w:t>
      </w:r>
      <w:r w:rsidR="00860D12" w:rsidRPr="00036A76">
        <w:rPr>
          <w:bCs/>
        </w:rPr>
        <w:t>%, iz čega slijedi da je u prethodnoj poslovnoj godini došlo do značajnog pada vrijednosti neto im</w:t>
      </w:r>
      <w:r w:rsidR="001B099E" w:rsidRPr="00036A76">
        <w:rPr>
          <w:bCs/>
        </w:rPr>
        <w:t>ovine F</w:t>
      </w:r>
      <w:r w:rsidR="00860D12" w:rsidRPr="00036A76">
        <w:rPr>
          <w:bCs/>
        </w:rPr>
        <w:t>onda, koja je dovela</w:t>
      </w:r>
      <w:r w:rsidR="001B099E" w:rsidRPr="00036A76">
        <w:rPr>
          <w:bCs/>
        </w:rPr>
        <w:t xml:space="preserve"> do negativne stope prinosa na F</w:t>
      </w:r>
      <w:r w:rsidR="00860D12" w:rsidRPr="00036A76">
        <w:rPr>
          <w:bCs/>
        </w:rPr>
        <w:t>ond.</w:t>
      </w:r>
    </w:p>
    <w:p w:rsidR="00764D4C" w:rsidRPr="00036A76" w:rsidRDefault="00860D12" w:rsidP="00395D0A">
      <w:pPr>
        <w:autoSpaceDE w:val="0"/>
        <w:autoSpaceDN w:val="0"/>
        <w:adjustRightInd w:val="0"/>
        <w:ind w:left="0" w:firstLine="0"/>
        <w:contextualSpacing/>
        <w:rPr>
          <w:bCs/>
        </w:rPr>
      </w:pPr>
      <w:r w:rsidRPr="00036A76">
        <w:rPr>
          <w:bCs/>
        </w:rPr>
        <w:t>Negativan trend stope pr</w:t>
      </w:r>
      <w:r w:rsidR="00BD62DE" w:rsidRPr="00036A76">
        <w:rPr>
          <w:bCs/>
        </w:rPr>
        <w:t>inosa je zabilježen takođ</w:t>
      </w:r>
      <w:r w:rsidR="00994A8C" w:rsidRPr="00036A76">
        <w:rPr>
          <w:bCs/>
        </w:rPr>
        <w:t>e 2012</w:t>
      </w:r>
      <w:r w:rsidRPr="00036A76">
        <w:rPr>
          <w:bCs/>
        </w:rPr>
        <w:t>.</w:t>
      </w:r>
      <w:r w:rsidR="00BD62DE" w:rsidRPr="00036A76">
        <w:rPr>
          <w:bCs/>
        </w:rPr>
        <w:t xml:space="preserve"> </w:t>
      </w:r>
      <w:r w:rsidRPr="00036A76">
        <w:rPr>
          <w:bCs/>
        </w:rPr>
        <w:t xml:space="preserve">i 2014. </w:t>
      </w:r>
      <w:r w:rsidR="00086988" w:rsidRPr="00036A76">
        <w:rPr>
          <w:bCs/>
        </w:rPr>
        <w:t>g</w:t>
      </w:r>
      <w:r w:rsidRPr="00036A76">
        <w:rPr>
          <w:bCs/>
        </w:rPr>
        <w:t>odine</w:t>
      </w:r>
      <w:r w:rsidR="00C409FE" w:rsidRPr="00036A76">
        <w:rPr>
          <w:bCs/>
        </w:rPr>
        <w:t>, a mnogo je razloga koji su doveli do smanjenja neto im</w:t>
      </w:r>
      <w:r w:rsidR="00BD62DE" w:rsidRPr="00036A76">
        <w:rPr>
          <w:bCs/>
        </w:rPr>
        <w:t>ovine F</w:t>
      </w:r>
      <w:r w:rsidR="00C409FE" w:rsidRPr="00036A76">
        <w:rPr>
          <w:bCs/>
        </w:rPr>
        <w:t xml:space="preserve">onda </w:t>
      </w:r>
      <w:r w:rsidR="00764D4C" w:rsidRPr="00036A76">
        <w:rPr>
          <w:bCs/>
        </w:rPr>
        <w:t>i</w:t>
      </w:r>
      <w:r w:rsidR="00C409FE" w:rsidRPr="00036A76">
        <w:rPr>
          <w:bCs/>
        </w:rPr>
        <w:t xml:space="preserve"> do smanjenja istorijske stope prinosa</w:t>
      </w:r>
      <w:r w:rsidR="00BD62DE" w:rsidRPr="00036A76">
        <w:rPr>
          <w:bCs/>
        </w:rPr>
        <w:t xml:space="preserve"> F</w:t>
      </w:r>
      <w:r w:rsidR="00764D4C" w:rsidRPr="00036A76">
        <w:rPr>
          <w:bCs/>
        </w:rPr>
        <w:t>onda</w:t>
      </w:r>
      <w:r w:rsidR="00C409FE" w:rsidRPr="00036A76">
        <w:rPr>
          <w:bCs/>
        </w:rPr>
        <w:t xml:space="preserve"> u ovom period</w:t>
      </w:r>
      <w:r w:rsidR="00764D4C" w:rsidRPr="00036A76">
        <w:rPr>
          <w:bCs/>
        </w:rPr>
        <w:t>u.</w:t>
      </w:r>
    </w:p>
    <w:p w:rsidR="00395D0A" w:rsidRPr="00036A76" w:rsidRDefault="00395D0A" w:rsidP="00395D0A">
      <w:pPr>
        <w:autoSpaceDE w:val="0"/>
        <w:autoSpaceDN w:val="0"/>
        <w:adjustRightInd w:val="0"/>
        <w:ind w:left="0" w:firstLine="0"/>
        <w:contextualSpacing/>
      </w:pPr>
      <w:r w:rsidRPr="00036A76">
        <w:rPr>
          <w:bCs/>
        </w:rPr>
        <w:t xml:space="preserve">Fond je namijenjen podjednako individualnim i institucionalnim ulagačima, što znači da u njega mogu ulagati i fizičke i pravne osobe zainteresovane da se njihova slobodna novčana sredstva ulažu na odabranim finansijskim tržištima, tj. </w:t>
      </w:r>
      <w:r w:rsidRPr="00036A76">
        <w:t>svim fizičkim i pravnim osobama sa dugoročnim horizontom ulaganja i većom tolerancijom prema riziku, koji žele iskoristiti mogućnost ostvarivanja viših prinosa koje pružaju</w:t>
      </w:r>
      <w:r w:rsidR="001B099E" w:rsidRPr="00036A76">
        <w:t xml:space="preserve"> </w:t>
      </w:r>
      <w:r w:rsidRPr="00036A76">
        <w:t xml:space="preserve">akcije uz stabilnost koju nude ulaganja u obveznice, iskusnijim investitorima koji žele </w:t>
      </w:r>
      <w:r w:rsidR="0074596E" w:rsidRPr="00036A76">
        <w:t>postići specifične investicione</w:t>
      </w:r>
      <w:r w:rsidRPr="00036A76">
        <w:t xml:space="preserve"> ciljeve te investitorima koji žele diverzifikovati strukturu svoje imovine.</w:t>
      </w:r>
    </w:p>
    <w:p w:rsidR="00395D0A" w:rsidRPr="00036A76" w:rsidRDefault="00292F73" w:rsidP="00292F73">
      <w:pPr>
        <w:autoSpaceDE w:val="0"/>
        <w:autoSpaceDN w:val="0"/>
        <w:adjustRightInd w:val="0"/>
        <w:ind w:left="0" w:firstLine="0"/>
        <w:contextualSpacing/>
      </w:pPr>
      <w:r w:rsidRPr="00036A76">
        <w:t>Portfelj Fonda se najvećim dijelom sastoji iz nelikvidne imovine, tako da se potencijalnim investitorima Fonda savjetuje da prije eventualne kupovine akcija Fonda izvrše analizu portfelja Fonda.</w:t>
      </w:r>
    </w:p>
    <w:p w:rsidR="00B86298" w:rsidRPr="00036A76" w:rsidRDefault="00B86298" w:rsidP="00B86298">
      <w:pPr>
        <w:ind w:left="0" w:firstLine="0"/>
        <w:rPr>
          <w:bCs/>
        </w:rPr>
      </w:pPr>
    </w:p>
    <w:p w:rsidR="00FD2A0C" w:rsidRPr="00036A76" w:rsidRDefault="00362BC2" w:rsidP="00F553CF">
      <w:pPr>
        <w:pStyle w:val="ListParagraph"/>
        <w:numPr>
          <w:ilvl w:val="0"/>
          <w:numId w:val="10"/>
        </w:numPr>
        <w:autoSpaceDE w:val="0"/>
        <w:autoSpaceDN w:val="0"/>
        <w:adjustRightInd w:val="0"/>
        <w:rPr>
          <w:b/>
          <w:bCs/>
        </w:rPr>
      </w:pPr>
      <w:r w:rsidRPr="00036A76">
        <w:rPr>
          <w:b/>
        </w:rPr>
        <w:t>OGRANIČENJA ULAGANJA</w:t>
      </w:r>
    </w:p>
    <w:p w:rsidR="00F647DF" w:rsidRPr="00036A76" w:rsidRDefault="00F647DF" w:rsidP="00F647DF">
      <w:pPr>
        <w:autoSpaceDE w:val="0"/>
        <w:autoSpaceDN w:val="0"/>
        <w:adjustRightInd w:val="0"/>
        <w:rPr>
          <w:b/>
          <w:bCs/>
        </w:rPr>
      </w:pPr>
    </w:p>
    <w:p w:rsidR="00D8736B" w:rsidRPr="00036A76" w:rsidRDefault="00D8736B" w:rsidP="00D8736B">
      <w:pPr>
        <w:ind w:left="0" w:firstLine="0"/>
        <w:contextualSpacing/>
        <w:jc w:val="left"/>
      </w:pPr>
      <w:r w:rsidRPr="00036A76">
        <w:t>Ulaganje imovine Fonda podliježe zakonskim ograničenjima.</w:t>
      </w:r>
    </w:p>
    <w:p w:rsidR="00D8736B" w:rsidRPr="00036A76" w:rsidRDefault="00D8736B" w:rsidP="00D8736B">
      <w:pPr>
        <w:ind w:left="0" w:firstLine="0"/>
        <w:contextualSpacing/>
        <w:jc w:val="left"/>
      </w:pPr>
      <w:r w:rsidRPr="00036A76">
        <w:t>Fond ne planira nova ulaganja, tako da ne planira ni ograničenja ulaganja, imajući u vidu da je investicioni cilj Fonda njegova likvidacija.</w:t>
      </w:r>
    </w:p>
    <w:p w:rsidR="00AE1277" w:rsidRPr="00036A76" w:rsidRDefault="00AE1277" w:rsidP="00AE1277">
      <w:pPr>
        <w:pStyle w:val="Heading3"/>
        <w:spacing w:before="0" w:after="0"/>
        <w:contextualSpacing/>
        <w:jc w:val="both"/>
        <w:rPr>
          <w:rFonts w:ascii="Times New Roman" w:hAnsi="Times New Roman"/>
        </w:rPr>
      </w:pPr>
    </w:p>
    <w:p w:rsidR="006359D1" w:rsidRPr="00036A76" w:rsidRDefault="006359D1" w:rsidP="00F553CF">
      <w:pPr>
        <w:pStyle w:val="ListParagraph"/>
        <w:numPr>
          <w:ilvl w:val="0"/>
          <w:numId w:val="10"/>
        </w:numPr>
        <w:rPr>
          <w:b/>
          <w:lang w:val="sr-Latn-BA"/>
        </w:rPr>
      </w:pPr>
      <w:r w:rsidRPr="00036A76">
        <w:rPr>
          <w:b/>
          <w:lang w:val="sr-Latn-BA"/>
        </w:rPr>
        <w:t>ULAGANJE FONDA DIREKTNO U ROBU, I PROCENAT SREDSTAVA KOJA SE ULAŽU NA TAKAV NAČIN</w:t>
      </w:r>
    </w:p>
    <w:p w:rsidR="006359D1" w:rsidRPr="00036A76" w:rsidRDefault="006359D1" w:rsidP="006359D1">
      <w:pPr>
        <w:ind w:left="0" w:firstLine="0"/>
        <w:rPr>
          <w:lang w:val="sr-Latn-BA"/>
        </w:rPr>
      </w:pPr>
      <w:r w:rsidRPr="00036A76">
        <w:rPr>
          <w:lang w:val="sr-Latn-BA"/>
        </w:rPr>
        <w:t>Fond ne ulaže direktno u robu (eng. Commodities).</w:t>
      </w:r>
    </w:p>
    <w:p w:rsidR="006359D1" w:rsidRPr="00036A76" w:rsidRDefault="006359D1" w:rsidP="006359D1">
      <w:pPr>
        <w:ind w:left="0" w:firstLine="0"/>
        <w:rPr>
          <w:lang w:val="sr-Latn-BA"/>
        </w:rPr>
      </w:pPr>
    </w:p>
    <w:p w:rsidR="006359D1" w:rsidRPr="00036A76" w:rsidRDefault="006359D1" w:rsidP="00F553CF">
      <w:pPr>
        <w:pStyle w:val="ListParagraph"/>
        <w:numPr>
          <w:ilvl w:val="0"/>
          <w:numId w:val="10"/>
        </w:numPr>
        <w:rPr>
          <w:b/>
          <w:lang w:val="sr-Latn-BA"/>
        </w:rPr>
      </w:pPr>
      <w:r w:rsidRPr="00036A76">
        <w:rPr>
          <w:b/>
          <w:lang w:val="sr-Latn-BA"/>
        </w:rPr>
        <w:t xml:space="preserve">ULAGANJE U NEKRETNINE, PROCENAT PORTFELJA KOJI SE ULAŽE U NEKRETNINE, OPIS NEKRETNINA, I SVI ZNAČAJNI TROŠKOVI KOJI </w:t>
      </w:r>
      <w:r w:rsidR="007B1AC4" w:rsidRPr="00036A76">
        <w:rPr>
          <w:b/>
          <w:lang w:val="sr-Latn-BA"/>
        </w:rPr>
        <w:t>SU POVEZANI SA STICANJEM NEKRETNINE</w:t>
      </w:r>
    </w:p>
    <w:p w:rsidR="007B1AC4" w:rsidRPr="00036A76" w:rsidRDefault="007B1AC4" w:rsidP="007B1AC4">
      <w:pPr>
        <w:ind w:left="0" w:firstLine="0"/>
        <w:rPr>
          <w:lang w:val="sr-Latn-BA"/>
        </w:rPr>
      </w:pPr>
      <w:r w:rsidRPr="00036A76">
        <w:rPr>
          <w:lang w:val="sr-Latn-BA"/>
        </w:rPr>
        <w:t xml:space="preserve">Fond ne </w:t>
      </w:r>
      <w:r w:rsidR="00F647DF" w:rsidRPr="00036A76">
        <w:rPr>
          <w:lang w:val="sr-Latn-BA"/>
        </w:rPr>
        <w:t>može ulagati</w:t>
      </w:r>
      <w:r w:rsidRPr="00036A76">
        <w:rPr>
          <w:lang w:val="sr-Latn-BA"/>
        </w:rPr>
        <w:t xml:space="preserve"> u nekretnine.</w:t>
      </w:r>
    </w:p>
    <w:p w:rsidR="009B375D" w:rsidRPr="00036A76" w:rsidRDefault="009B375D" w:rsidP="007B1AC4">
      <w:pPr>
        <w:ind w:left="0" w:firstLine="0"/>
        <w:rPr>
          <w:lang w:val="sr-Latn-BA"/>
        </w:rPr>
      </w:pPr>
    </w:p>
    <w:p w:rsidR="007B1AC4" w:rsidRPr="00036A76" w:rsidRDefault="007B1AC4" w:rsidP="00F553CF">
      <w:pPr>
        <w:pStyle w:val="Heading3"/>
        <w:numPr>
          <w:ilvl w:val="0"/>
          <w:numId w:val="10"/>
        </w:numPr>
        <w:spacing w:before="0" w:after="0"/>
        <w:contextualSpacing/>
        <w:jc w:val="both"/>
        <w:rPr>
          <w:rFonts w:ascii="Times New Roman" w:hAnsi="Times New Roman"/>
        </w:rPr>
      </w:pPr>
      <w:r w:rsidRPr="00036A76">
        <w:rPr>
          <w:rFonts w:ascii="Times New Roman" w:hAnsi="Times New Roman"/>
        </w:rPr>
        <w:t xml:space="preserve"> </w:t>
      </w:r>
      <w:r w:rsidR="00F647DF" w:rsidRPr="00036A76">
        <w:rPr>
          <w:rFonts w:ascii="Times New Roman" w:hAnsi="Times New Roman"/>
        </w:rPr>
        <w:t>TROŠKOVI FONDA</w:t>
      </w:r>
    </w:p>
    <w:p w:rsidR="00AE1277" w:rsidRPr="00036A76" w:rsidRDefault="007B1AC4" w:rsidP="007B1AC4">
      <w:pPr>
        <w:pStyle w:val="Heading3"/>
        <w:spacing w:before="0" w:after="0"/>
        <w:contextualSpacing/>
        <w:jc w:val="both"/>
        <w:rPr>
          <w:rFonts w:ascii="Times New Roman" w:hAnsi="Times New Roman"/>
        </w:rPr>
      </w:pPr>
      <w:r w:rsidRPr="00036A76">
        <w:rPr>
          <w:rFonts w:ascii="Times New Roman" w:hAnsi="Times New Roman"/>
        </w:rPr>
        <w:t>(visina godišnje naknade za upravljanje i ukupan iznos troškova upravljanja i poslovanja)</w:t>
      </w:r>
    </w:p>
    <w:p w:rsidR="00AE1277" w:rsidRPr="00036A76" w:rsidRDefault="00AE1277" w:rsidP="00AE1277">
      <w:pPr>
        <w:ind w:left="0" w:firstLine="0"/>
        <w:contextualSpacing/>
      </w:pPr>
      <w:r w:rsidRPr="00036A76">
        <w:t>Iz imovine Fonda mogu se direktno plaćati sljedeći troškovi:</w:t>
      </w:r>
    </w:p>
    <w:p w:rsidR="00AE1277" w:rsidRPr="00036A76" w:rsidRDefault="00056B0A" w:rsidP="00F553CF">
      <w:pPr>
        <w:pStyle w:val="ListParagraph"/>
        <w:numPr>
          <w:ilvl w:val="0"/>
          <w:numId w:val="7"/>
        </w:numPr>
        <w:spacing w:after="200" w:line="276" w:lineRule="auto"/>
        <w:rPr>
          <w:bCs/>
        </w:rPr>
      </w:pPr>
      <w:r w:rsidRPr="00036A76">
        <w:rPr>
          <w:bCs/>
        </w:rPr>
        <w:t>naknada D</w:t>
      </w:r>
      <w:r w:rsidR="00AE1277" w:rsidRPr="00036A76">
        <w:rPr>
          <w:bCs/>
        </w:rPr>
        <w:t>ruštvu za upravljanje,</w:t>
      </w:r>
    </w:p>
    <w:p w:rsidR="00AE1277" w:rsidRPr="00036A76" w:rsidRDefault="00AE1277" w:rsidP="00F553CF">
      <w:pPr>
        <w:pStyle w:val="ListParagraph"/>
        <w:numPr>
          <w:ilvl w:val="0"/>
          <w:numId w:val="7"/>
        </w:numPr>
        <w:rPr>
          <w:bCs/>
        </w:rPr>
      </w:pPr>
      <w:r w:rsidRPr="00036A76">
        <w:rPr>
          <w:color w:val="000000"/>
          <w:lang w:val="hr-HR"/>
        </w:rPr>
        <w:t>naknada depozitaru,</w:t>
      </w:r>
    </w:p>
    <w:p w:rsidR="00AE1277" w:rsidRPr="00036A76" w:rsidRDefault="00056B0A" w:rsidP="00F553CF">
      <w:pPr>
        <w:pStyle w:val="ListParagraph"/>
        <w:numPr>
          <w:ilvl w:val="0"/>
          <w:numId w:val="7"/>
        </w:numPr>
        <w:rPr>
          <w:bCs/>
        </w:rPr>
      </w:pPr>
      <w:r w:rsidRPr="00036A76">
        <w:rPr>
          <w:color w:val="000000"/>
          <w:lang w:val="hr-HR"/>
        </w:rPr>
        <w:lastRenderedPageBreak/>
        <w:t>naknada i troškovi članova N</w:t>
      </w:r>
      <w:r w:rsidR="00AE1277" w:rsidRPr="00036A76">
        <w:rPr>
          <w:color w:val="000000"/>
          <w:lang w:val="hr-HR"/>
        </w:rPr>
        <w:t>adzornog odbora,</w:t>
      </w:r>
    </w:p>
    <w:p w:rsidR="00AE1277" w:rsidRPr="00036A76" w:rsidRDefault="00AE1277" w:rsidP="00F553CF">
      <w:pPr>
        <w:pStyle w:val="ListParagraph"/>
        <w:numPr>
          <w:ilvl w:val="0"/>
          <w:numId w:val="7"/>
        </w:numPr>
        <w:rPr>
          <w:bCs/>
        </w:rPr>
      </w:pPr>
      <w:r w:rsidRPr="00036A76">
        <w:rPr>
          <w:color w:val="000000"/>
          <w:lang w:val="hr-HR"/>
        </w:rPr>
        <w:t xml:space="preserve">troškovi provizije ili takse, neposredno povezene sa </w:t>
      </w:r>
      <w:r w:rsidR="00E31489" w:rsidRPr="00036A76">
        <w:rPr>
          <w:color w:val="000000"/>
          <w:lang w:val="hr-HR"/>
        </w:rPr>
        <w:t>sticanjem ili prodajom imovine F</w:t>
      </w:r>
      <w:r w:rsidRPr="00036A76">
        <w:rPr>
          <w:color w:val="000000"/>
          <w:lang w:val="hr-HR"/>
        </w:rPr>
        <w:t>onda,</w:t>
      </w:r>
    </w:p>
    <w:p w:rsidR="00AE1277" w:rsidRPr="00036A76" w:rsidRDefault="00AE1277" w:rsidP="00F553CF">
      <w:pPr>
        <w:pStyle w:val="ListParagraph"/>
        <w:numPr>
          <w:ilvl w:val="0"/>
          <w:numId w:val="7"/>
        </w:numPr>
        <w:rPr>
          <w:bCs/>
        </w:rPr>
      </w:pPr>
      <w:r w:rsidRPr="00036A76">
        <w:rPr>
          <w:color w:val="000000"/>
          <w:lang w:val="hr-HR"/>
        </w:rPr>
        <w:t>naknada i trošak vođenja registra akcija, te troškovi isplate dividende,</w:t>
      </w:r>
    </w:p>
    <w:p w:rsidR="00AE1277" w:rsidRPr="00036A76" w:rsidRDefault="00AE1277" w:rsidP="00F553CF">
      <w:pPr>
        <w:pStyle w:val="ListParagraph"/>
        <w:numPr>
          <w:ilvl w:val="0"/>
          <w:numId w:val="7"/>
        </w:numPr>
        <w:rPr>
          <w:bCs/>
        </w:rPr>
      </w:pPr>
      <w:r w:rsidRPr="00036A76">
        <w:rPr>
          <w:color w:val="000000"/>
          <w:lang w:val="hr-HR"/>
        </w:rPr>
        <w:t>revizorski i advokatski troškovi nastali u poslovanju Fonda,</w:t>
      </w:r>
    </w:p>
    <w:p w:rsidR="00AE1277" w:rsidRPr="00036A76" w:rsidRDefault="00AE1277" w:rsidP="00F553CF">
      <w:pPr>
        <w:pStyle w:val="ListParagraph"/>
        <w:numPr>
          <w:ilvl w:val="0"/>
          <w:numId w:val="7"/>
        </w:numPr>
        <w:rPr>
          <w:bCs/>
        </w:rPr>
      </w:pPr>
      <w:r w:rsidRPr="00036A76">
        <w:rPr>
          <w:color w:val="000000"/>
          <w:lang w:val="hr-HR"/>
        </w:rPr>
        <w:t>troškovi izrade, štampanja i poštarine vezani uz objavljivanje i dostavljanje izvještaja, koji se prema zakonu podnose akcionarima,</w:t>
      </w:r>
    </w:p>
    <w:p w:rsidR="00AE1277" w:rsidRPr="00036A76" w:rsidRDefault="00AE1277" w:rsidP="00F553CF">
      <w:pPr>
        <w:pStyle w:val="ListParagraph"/>
        <w:numPr>
          <w:ilvl w:val="0"/>
          <w:numId w:val="7"/>
        </w:numPr>
        <w:rPr>
          <w:bCs/>
        </w:rPr>
      </w:pPr>
      <w:r w:rsidRPr="00036A76">
        <w:rPr>
          <w:color w:val="000000"/>
          <w:lang w:val="hr-HR"/>
        </w:rPr>
        <w:t>troškovi održavanja Glavne skupštine, osim u slučaju v</w:t>
      </w:r>
      <w:r w:rsidR="00E31489" w:rsidRPr="00036A76">
        <w:rPr>
          <w:color w:val="000000"/>
          <w:lang w:val="hr-HR"/>
        </w:rPr>
        <w:t>anredne skupštine, koju sazove D</w:t>
      </w:r>
      <w:r w:rsidRPr="00036A76">
        <w:rPr>
          <w:color w:val="000000"/>
          <w:lang w:val="hr-HR"/>
        </w:rPr>
        <w:t>ruštvo za upravljanje, u kom slučaju te troškove s</w:t>
      </w:r>
      <w:r w:rsidR="00E31489" w:rsidRPr="00036A76">
        <w:rPr>
          <w:color w:val="000000"/>
          <w:lang w:val="hr-HR"/>
        </w:rPr>
        <w:t>nosi D</w:t>
      </w:r>
      <w:r w:rsidRPr="00036A76">
        <w:rPr>
          <w:color w:val="000000"/>
          <w:lang w:val="hr-HR"/>
        </w:rPr>
        <w:t>ruštvo za upravljanje,</w:t>
      </w:r>
    </w:p>
    <w:p w:rsidR="00AE1277" w:rsidRPr="00036A76" w:rsidRDefault="00AE1277" w:rsidP="00F553CF">
      <w:pPr>
        <w:pStyle w:val="ListParagraph"/>
        <w:numPr>
          <w:ilvl w:val="0"/>
          <w:numId w:val="7"/>
        </w:numPr>
        <w:rPr>
          <w:bCs/>
        </w:rPr>
      </w:pPr>
      <w:r w:rsidRPr="00036A76">
        <w:rPr>
          <w:color w:val="000000"/>
          <w:lang w:val="hr-HR"/>
        </w:rPr>
        <w:t>sve propisane naknade, koje se plaćaju Komsiji za hartije od vrijednosti Republike Srpske (u daljem tekstu Komis</w:t>
      </w:r>
      <w:r w:rsidR="00E31489" w:rsidRPr="00036A76">
        <w:rPr>
          <w:color w:val="000000"/>
          <w:lang w:val="hr-HR"/>
        </w:rPr>
        <w:t>ija), u vezi izdavanja dozvole Z</w:t>
      </w:r>
      <w:r w:rsidRPr="00036A76">
        <w:rPr>
          <w:color w:val="000000"/>
          <w:lang w:val="hr-HR"/>
        </w:rPr>
        <w:t>atvorenom investicionom fondu,</w:t>
      </w:r>
    </w:p>
    <w:p w:rsidR="00AE1277" w:rsidRPr="00036A76" w:rsidRDefault="00056B0A" w:rsidP="00F553CF">
      <w:pPr>
        <w:pStyle w:val="ListParagraph"/>
        <w:numPr>
          <w:ilvl w:val="0"/>
          <w:numId w:val="7"/>
        </w:numPr>
        <w:rPr>
          <w:bCs/>
        </w:rPr>
      </w:pPr>
      <w:r w:rsidRPr="00036A76">
        <w:rPr>
          <w:color w:val="000000"/>
          <w:lang w:val="hr-HR"/>
        </w:rPr>
        <w:t>troškovi uvrštenja hartija na B</w:t>
      </w:r>
      <w:r w:rsidR="00AE1277" w:rsidRPr="00036A76">
        <w:rPr>
          <w:color w:val="000000"/>
          <w:lang w:val="hr-HR"/>
        </w:rPr>
        <w:t>erzu, ili na drugo uređeno javno tržište,</w:t>
      </w:r>
    </w:p>
    <w:p w:rsidR="00AE1277" w:rsidRPr="00036A76" w:rsidRDefault="00AE1277" w:rsidP="00F553CF">
      <w:pPr>
        <w:pStyle w:val="ListParagraph"/>
        <w:numPr>
          <w:ilvl w:val="0"/>
          <w:numId w:val="7"/>
        </w:numPr>
        <w:rPr>
          <w:bCs/>
        </w:rPr>
      </w:pPr>
      <w:r w:rsidRPr="00036A76">
        <w:rPr>
          <w:lang w:val="hr-HR"/>
        </w:rPr>
        <w:t>troškovi oglašavanja, ali samo kada je to Fond obavezan u skladu sa zakonom,</w:t>
      </w:r>
    </w:p>
    <w:p w:rsidR="00AE1277" w:rsidRPr="00036A76" w:rsidRDefault="00AE1277" w:rsidP="00F553CF">
      <w:pPr>
        <w:pStyle w:val="ListParagraph"/>
        <w:numPr>
          <w:ilvl w:val="0"/>
          <w:numId w:val="7"/>
        </w:numPr>
        <w:rPr>
          <w:bCs/>
        </w:rPr>
      </w:pPr>
      <w:r w:rsidRPr="00036A76">
        <w:rPr>
          <w:lang w:val="hr-HR"/>
        </w:rPr>
        <w:t xml:space="preserve">ostale naknade, koje Fond plaća u skladu sa zakonom, odnosno drugim propisima.  </w:t>
      </w:r>
    </w:p>
    <w:p w:rsidR="00AE1277" w:rsidRPr="00036A76" w:rsidRDefault="00056B0A" w:rsidP="00AE1277">
      <w:pPr>
        <w:ind w:left="0" w:firstLine="0"/>
        <w:contextualSpacing/>
        <w:rPr>
          <w:lang w:val="sl-SI"/>
        </w:rPr>
      </w:pPr>
      <w:r w:rsidRPr="00036A76">
        <w:rPr>
          <w:bCs/>
        </w:rPr>
        <w:t>Naknada D</w:t>
      </w:r>
      <w:r w:rsidR="00AE1277" w:rsidRPr="00036A76">
        <w:rPr>
          <w:bCs/>
        </w:rPr>
        <w:t xml:space="preserve">ruštvu za upravljanje iznosi </w:t>
      </w:r>
      <w:r w:rsidR="00B03B12" w:rsidRPr="00036A76">
        <w:rPr>
          <w:bCs/>
        </w:rPr>
        <w:t>2</w:t>
      </w:r>
      <w:r w:rsidR="00AE1277" w:rsidRPr="00036A76">
        <w:rPr>
          <w:bCs/>
        </w:rPr>
        <w:t>,</w:t>
      </w:r>
      <w:r w:rsidR="00B03B12" w:rsidRPr="00036A76">
        <w:rPr>
          <w:bCs/>
        </w:rPr>
        <w:t>7</w:t>
      </w:r>
      <w:r w:rsidR="00AE1277" w:rsidRPr="00036A76">
        <w:rPr>
          <w:bCs/>
        </w:rPr>
        <w:t xml:space="preserve">% od ponderisane prosječne godišnje tržišne vrijednosti akcija Fonda. </w:t>
      </w:r>
      <w:r w:rsidR="00E31489" w:rsidRPr="00036A76">
        <w:rPr>
          <w:lang w:val="sl-SI"/>
        </w:rPr>
        <w:t>Naknada za upravljanje F</w:t>
      </w:r>
      <w:r w:rsidR="00AE1277" w:rsidRPr="00036A76">
        <w:rPr>
          <w:lang w:val="sl-SI"/>
        </w:rPr>
        <w:t>ondom se plaća u novcu, akontativno na mjesečnom nivou, a razlika godišnje provizije se plaća p</w:t>
      </w:r>
      <w:r w:rsidRPr="00036A76">
        <w:rPr>
          <w:lang w:val="sl-SI"/>
        </w:rPr>
        <w:t>o konačnom obračunu depozitara F</w:t>
      </w:r>
      <w:r w:rsidR="00AE1277" w:rsidRPr="00036A76">
        <w:rPr>
          <w:lang w:val="sl-SI"/>
        </w:rPr>
        <w:t>onda.</w:t>
      </w:r>
    </w:p>
    <w:p w:rsidR="00AE1277" w:rsidRPr="00036A76" w:rsidRDefault="00AE1277" w:rsidP="00AE1277">
      <w:pPr>
        <w:ind w:left="0" w:firstLine="0"/>
        <w:contextualSpacing/>
        <w:rPr>
          <w:lang w:val="sr-Latn-BA"/>
        </w:rPr>
      </w:pPr>
      <w:r w:rsidRPr="00036A76">
        <w:rPr>
          <w:lang w:val="sr-Latn-BA"/>
        </w:rPr>
        <w:t xml:space="preserve">Ako je ponderisana prosječna godišnja tržišna vrijednost akcija Fonda veća od prosječne godišnje neto vrijednosti imovine Fonda, kao osnovica za utvrđivanje pokazatelja ukupnih troškova primjenjuje se prosječna godišnja neto vrijednost imovine Fonda. </w:t>
      </w:r>
    </w:p>
    <w:p w:rsidR="00AE1277" w:rsidRPr="00036A76" w:rsidRDefault="00AE1277" w:rsidP="00AE1277">
      <w:pPr>
        <w:ind w:left="0" w:firstLine="0"/>
        <w:contextualSpacing/>
        <w:rPr>
          <w:color w:val="00B0F0"/>
        </w:rPr>
      </w:pPr>
      <w:r w:rsidRPr="00036A76">
        <w:rPr>
          <w:color w:val="000000"/>
          <w:lang w:val="hr-HR"/>
        </w:rPr>
        <w:t xml:space="preserve">Naknada depozitaru, </w:t>
      </w:r>
      <w:r w:rsidRPr="00036A76">
        <w:rPr>
          <w:iCs/>
        </w:rPr>
        <w:t xml:space="preserve">(Centralnom registru hartija od vrijednosti a.d. Banja Luka </w:t>
      </w:r>
      <w:r w:rsidRPr="00036A76">
        <w:rPr>
          <w:rFonts w:ascii="Cambria Math" w:hAnsi="Cambria Math"/>
          <w:iCs/>
        </w:rPr>
        <w:t>‐</w:t>
      </w:r>
      <w:r w:rsidRPr="00036A76">
        <w:rPr>
          <w:iCs/>
        </w:rPr>
        <w:t xml:space="preserve"> sektor depozitarnih poslova) izračunava </w:t>
      </w:r>
      <w:r w:rsidRPr="00036A76">
        <w:t>se mjesečno po isteku</w:t>
      </w:r>
      <w:r w:rsidRPr="00036A76">
        <w:rPr>
          <w:iCs/>
        </w:rPr>
        <w:t xml:space="preserve"> </w:t>
      </w:r>
      <w:r w:rsidRPr="00036A76">
        <w:t>obračunskog mjeseca, na način</w:t>
      </w:r>
      <w:r w:rsidRPr="00036A76">
        <w:rPr>
          <w:iCs/>
        </w:rPr>
        <w:t xml:space="preserve"> </w:t>
      </w:r>
      <w:r w:rsidRPr="00036A76">
        <w:t>predviđen Ugovorom zaključenim</w:t>
      </w:r>
      <w:r w:rsidRPr="00036A76">
        <w:rPr>
          <w:iCs/>
        </w:rPr>
        <w:t xml:space="preserve"> </w:t>
      </w:r>
      <w:r w:rsidRPr="00036A76">
        <w:t>između depozitara i Fonda, te odluke</w:t>
      </w:r>
      <w:r w:rsidRPr="00036A76">
        <w:rPr>
          <w:i/>
          <w:iCs/>
        </w:rPr>
        <w:t xml:space="preserve"> </w:t>
      </w:r>
      <w:r w:rsidRPr="00036A76">
        <w:t>Centralnog registra hartija od vrijednosti a.d. Banja Luka o načinu</w:t>
      </w:r>
      <w:r w:rsidRPr="00036A76">
        <w:rPr>
          <w:i/>
          <w:iCs/>
        </w:rPr>
        <w:t xml:space="preserve"> </w:t>
      </w:r>
      <w:r w:rsidRPr="00036A76">
        <w:t xml:space="preserve">obračunavanja naknada. </w:t>
      </w:r>
    </w:p>
    <w:p w:rsidR="00AE1277" w:rsidRPr="00036A76" w:rsidRDefault="00AE1277" w:rsidP="00AE1277">
      <w:pPr>
        <w:autoSpaceDE w:val="0"/>
        <w:autoSpaceDN w:val="0"/>
        <w:adjustRightInd w:val="0"/>
        <w:ind w:left="0" w:firstLine="0"/>
        <w:contextualSpacing/>
        <w:rPr>
          <w:color w:val="00B0F0"/>
        </w:rPr>
      </w:pPr>
      <w:r w:rsidRPr="00036A76">
        <w:rPr>
          <w:iCs/>
        </w:rPr>
        <w:t xml:space="preserve">Naknada (Centralnom registru hartija od vrijednosti a.d. Banja Luka </w:t>
      </w:r>
      <w:r w:rsidRPr="00036A76">
        <w:rPr>
          <w:rFonts w:ascii="Cambria Math" w:hAnsi="Cambria Math"/>
          <w:iCs/>
        </w:rPr>
        <w:t>‐</w:t>
      </w:r>
      <w:r w:rsidRPr="00036A76">
        <w:rPr>
          <w:iCs/>
        </w:rPr>
        <w:t xml:space="preserve"> sektor vođenje knjige akcionara i registra HOV) </w:t>
      </w:r>
      <w:r w:rsidRPr="00036A76">
        <w:t>podrazumjeva rashode naknada</w:t>
      </w:r>
      <w:r w:rsidRPr="00036A76">
        <w:rPr>
          <w:iCs/>
        </w:rPr>
        <w:t xml:space="preserve"> </w:t>
      </w:r>
      <w:r w:rsidRPr="00036A76">
        <w:t>za vođenje knjige</w:t>
      </w:r>
      <w:r w:rsidRPr="00036A76">
        <w:rPr>
          <w:iCs/>
        </w:rPr>
        <w:t xml:space="preserve"> </w:t>
      </w:r>
      <w:r w:rsidRPr="00036A76">
        <w:t>akcionara i naknade za vođenje</w:t>
      </w:r>
      <w:r w:rsidRPr="00036A76">
        <w:rPr>
          <w:iCs/>
        </w:rPr>
        <w:t xml:space="preserve"> </w:t>
      </w:r>
      <w:r w:rsidR="00E31489" w:rsidRPr="00036A76">
        <w:t>registra investicionog F</w:t>
      </w:r>
      <w:r w:rsidRPr="00036A76">
        <w:t>onda, o ona se obračunava kvartalno.</w:t>
      </w:r>
    </w:p>
    <w:p w:rsidR="00AE1277" w:rsidRPr="00036A76" w:rsidRDefault="00AE1277" w:rsidP="00AE1277">
      <w:pPr>
        <w:autoSpaceDE w:val="0"/>
        <w:autoSpaceDN w:val="0"/>
        <w:adjustRightInd w:val="0"/>
        <w:ind w:left="0" w:firstLine="0"/>
        <w:contextualSpacing/>
      </w:pPr>
      <w:r w:rsidRPr="00036A76">
        <w:rPr>
          <w:rFonts w:eastAsia="Calibri"/>
          <w:color w:val="000000"/>
          <w:lang w:val="hr-HR"/>
        </w:rPr>
        <w:t xml:space="preserve">Naknada i troškovi članova Nadzornog odbora </w:t>
      </w:r>
      <w:r w:rsidRPr="00036A76">
        <w:rPr>
          <w:bCs/>
          <w:iCs/>
        </w:rPr>
        <w:t>Fonda utvrđen</w:t>
      </w:r>
      <w:r w:rsidR="00E31489" w:rsidRPr="00036A76">
        <w:rPr>
          <w:bCs/>
          <w:iCs/>
        </w:rPr>
        <w:t>a je Odlukom Skupštine</w:t>
      </w:r>
      <w:r w:rsidRPr="00036A76">
        <w:rPr>
          <w:bCs/>
          <w:iCs/>
        </w:rPr>
        <w:t xml:space="preserve"> Fonda</w:t>
      </w:r>
      <w:r w:rsidRPr="00036A76">
        <w:t xml:space="preserve"> o visini naknada predsjedniku i članovima Nadzornog odbora Fonda, broj: SK-I-09/2016 od 06.04.2016. godine, u neto iznosu 300,00KM za predsjednika i od po 200,00KM za članove  mjesečno. Naknada se obračunava i isplaćuje mjesečno, a na neto iznos naknade se obračunavaju i plaćaju zakonom propisani porezi i doprinosi na lična primanja.</w:t>
      </w:r>
    </w:p>
    <w:p w:rsidR="00AE1277" w:rsidRPr="00036A76" w:rsidRDefault="00AE1277" w:rsidP="00AE1277">
      <w:pPr>
        <w:autoSpaceDE w:val="0"/>
        <w:autoSpaceDN w:val="0"/>
        <w:adjustRightInd w:val="0"/>
        <w:ind w:left="0" w:firstLine="0"/>
        <w:contextualSpacing/>
        <w:rPr>
          <w:bCs/>
        </w:rPr>
      </w:pPr>
      <w:r w:rsidRPr="00036A76">
        <w:rPr>
          <w:rFonts w:eastAsia="Calibri"/>
          <w:color w:val="000000"/>
          <w:lang w:val="hr-HR"/>
        </w:rPr>
        <w:t xml:space="preserve">Troškovi provizije ili takse neposredno povezene sa </w:t>
      </w:r>
      <w:r w:rsidR="00056B0A" w:rsidRPr="00036A76">
        <w:rPr>
          <w:rFonts w:eastAsia="Calibri"/>
          <w:color w:val="000000"/>
          <w:lang w:val="hr-HR"/>
        </w:rPr>
        <w:t>sticanjem ili prodajom imovine F</w:t>
      </w:r>
      <w:r w:rsidRPr="00036A76">
        <w:rPr>
          <w:rFonts w:eastAsia="Calibri"/>
          <w:color w:val="000000"/>
          <w:lang w:val="hr-HR"/>
        </w:rPr>
        <w:t xml:space="preserve">onda, </w:t>
      </w:r>
      <w:r w:rsidRPr="00036A76">
        <w:rPr>
          <w:b/>
          <w:bCs/>
          <w:i/>
          <w:iCs/>
        </w:rPr>
        <w:t xml:space="preserve"> </w:t>
      </w:r>
      <w:r w:rsidRPr="00036A76">
        <w:t>naplaćuju se iz</w:t>
      </w:r>
      <w:r w:rsidRPr="00036A76">
        <w:rPr>
          <w:lang w:val="sr-Latn-BA"/>
        </w:rPr>
        <w:t xml:space="preserve"> </w:t>
      </w:r>
      <w:r w:rsidRPr="00036A76">
        <w:t>imovine Fonda u stvarnom iznosu istih, a ovi troškovi obuhvataju proviziju usluge brokerske kuće, naknadu Centralnom registru hartija od vrijednosti i Berze na ime trgovanja. Društvo nastoji smanjiti troškove prodaje hartija od vrijednosti iz portfolija Fonda organizujući zajedničke aukcije, te na taj način raspodjeljujući troškove organizovanja aukcije proporcionalno učešću Fonda u vrijednosti transakcije. Iz imovine Fonda, u stvarnom iznosu istih, naplaćuju se troškovi platnog prometa, porezi i druge fiskalne obaveze Fonda.</w:t>
      </w:r>
    </w:p>
    <w:p w:rsidR="00AE1277" w:rsidRPr="00036A76" w:rsidRDefault="00AE1277" w:rsidP="00AE1277">
      <w:pPr>
        <w:autoSpaceDE w:val="0"/>
        <w:autoSpaceDN w:val="0"/>
        <w:adjustRightInd w:val="0"/>
        <w:ind w:left="0" w:firstLine="0"/>
        <w:contextualSpacing/>
        <w:rPr>
          <w:b/>
          <w:bCs/>
          <w:i/>
          <w:iCs/>
          <w:color w:val="FF0000"/>
        </w:rPr>
      </w:pPr>
      <w:r w:rsidRPr="00036A76">
        <w:rPr>
          <w:bCs/>
          <w:iCs/>
        </w:rPr>
        <w:t>Naknada troškova eksterne revizije</w:t>
      </w:r>
      <w:r w:rsidRPr="00036A76">
        <w:rPr>
          <w:b/>
          <w:bCs/>
          <w:i/>
          <w:iCs/>
        </w:rPr>
        <w:t xml:space="preserve"> </w:t>
      </w:r>
      <w:r w:rsidRPr="00036A76">
        <w:t>naplaćuje se u stvarnoj visini, a u skladu</w:t>
      </w:r>
      <w:r w:rsidRPr="00036A76">
        <w:rPr>
          <w:b/>
          <w:bCs/>
          <w:i/>
          <w:iCs/>
        </w:rPr>
        <w:t xml:space="preserve"> </w:t>
      </w:r>
      <w:r w:rsidRPr="00036A76">
        <w:t>sa Odlukom o izboru nezavisnog</w:t>
      </w:r>
      <w:r w:rsidRPr="00036A76">
        <w:rPr>
          <w:b/>
          <w:bCs/>
          <w:i/>
          <w:iCs/>
        </w:rPr>
        <w:t xml:space="preserve"> </w:t>
      </w:r>
      <w:r w:rsidRPr="00036A76">
        <w:t>revizora finansijskih izvještaja Fonda, i</w:t>
      </w:r>
      <w:r w:rsidRPr="00036A76">
        <w:rPr>
          <w:b/>
          <w:bCs/>
          <w:i/>
          <w:iCs/>
        </w:rPr>
        <w:t xml:space="preserve"> </w:t>
      </w:r>
      <w:r w:rsidRPr="00036A76">
        <w:t>Ugovora o pružanju usluga revizije</w:t>
      </w:r>
      <w:r w:rsidRPr="00036A76">
        <w:rPr>
          <w:color w:val="FF0000"/>
        </w:rPr>
        <w:t>.</w:t>
      </w:r>
      <w:r w:rsidRPr="00036A76">
        <w:rPr>
          <w:b/>
          <w:bCs/>
          <w:i/>
          <w:iCs/>
          <w:color w:val="FF0000"/>
        </w:rPr>
        <w:t xml:space="preserve"> </w:t>
      </w:r>
    </w:p>
    <w:p w:rsidR="00AE1277" w:rsidRPr="00036A76" w:rsidRDefault="00AE1277" w:rsidP="00AE1277">
      <w:pPr>
        <w:autoSpaceDE w:val="0"/>
        <w:autoSpaceDN w:val="0"/>
        <w:adjustRightInd w:val="0"/>
        <w:ind w:left="0" w:firstLine="0"/>
        <w:contextualSpacing/>
        <w:rPr>
          <w:color w:val="000000"/>
        </w:rPr>
      </w:pPr>
      <w:r w:rsidRPr="00036A76">
        <w:rPr>
          <w:bCs/>
          <w:iCs/>
        </w:rPr>
        <w:t>Naknada na ime advokatskih troškova i sudskih taksi</w:t>
      </w:r>
      <w:r w:rsidRPr="00036A76">
        <w:rPr>
          <w:b/>
          <w:bCs/>
          <w:i/>
          <w:iCs/>
        </w:rPr>
        <w:t xml:space="preserve"> </w:t>
      </w:r>
      <w:r w:rsidRPr="00036A76">
        <w:t>obračunava se i naplaćuje</w:t>
      </w:r>
      <w:r w:rsidRPr="00036A76">
        <w:rPr>
          <w:b/>
          <w:bCs/>
          <w:i/>
          <w:iCs/>
        </w:rPr>
        <w:t xml:space="preserve"> </w:t>
      </w:r>
      <w:r w:rsidRPr="00036A76">
        <w:t>prema važećim tarifama organa. Na ove</w:t>
      </w:r>
      <w:r w:rsidRPr="00036A76">
        <w:rPr>
          <w:b/>
          <w:bCs/>
          <w:i/>
          <w:iCs/>
        </w:rPr>
        <w:t xml:space="preserve"> </w:t>
      </w:r>
      <w:r w:rsidRPr="00036A76">
        <w:t>troškove Društvo nastoji uticati</w:t>
      </w:r>
      <w:r w:rsidRPr="00036A76">
        <w:rPr>
          <w:b/>
          <w:bCs/>
          <w:i/>
          <w:iCs/>
        </w:rPr>
        <w:t xml:space="preserve"> </w:t>
      </w:r>
      <w:r w:rsidRPr="00036A76">
        <w:t xml:space="preserve">direktnim umanjenjem tako što u ime i </w:t>
      </w:r>
      <w:r w:rsidRPr="00036A76">
        <w:rPr>
          <w:color w:val="000000"/>
        </w:rPr>
        <w:t xml:space="preserve">za račun Fonda podnosi tzv. zajedničke tužbe sa drugim investicionim fondovima ili </w:t>
      </w:r>
      <w:r w:rsidRPr="00036A76">
        <w:rPr>
          <w:color w:val="000000"/>
        </w:rPr>
        <w:lastRenderedPageBreak/>
        <w:t>akcionarima, te na taj način dijeli troškove cijelokupnog postupka prema vrijednosti sa kojom participira u istom. Na ovaj način Društvo nastoji da smanji troškove Fonda.</w:t>
      </w:r>
    </w:p>
    <w:p w:rsidR="00AE1277" w:rsidRPr="00036A76" w:rsidRDefault="00AE1277" w:rsidP="00AE1277">
      <w:pPr>
        <w:autoSpaceDE w:val="0"/>
        <w:autoSpaceDN w:val="0"/>
        <w:adjustRightInd w:val="0"/>
        <w:ind w:left="0" w:firstLine="0"/>
        <w:contextualSpacing/>
        <w:rPr>
          <w:bCs/>
        </w:rPr>
      </w:pPr>
      <w:r w:rsidRPr="00036A76">
        <w:rPr>
          <w:rFonts w:eastAsia="Calibri"/>
          <w:color w:val="000000"/>
          <w:lang w:val="hr-HR"/>
        </w:rPr>
        <w:t xml:space="preserve">Troškovi izrade, štampanja i poštarine, vezani uz objavljivanje i dostavljanje izvještaja koji se prema zakonu podnose akcionarima </w:t>
      </w:r>
      <w:r w:rsidRPr="00036A76">
        <w:rPr>
          <w:color w:val="000000"/>
        </w:rPr>
        <w:t>Društvo</w:t>
      </w:r>
      <w:r w:rsidRPr="00036A76">
        <w:rPr>
          <w:b/>
          <w:bCs/>
          <w:i/>
          <w:iCs/>
          <w:color w:val="000000"/>
        </w:rPr>
        <w:t xml:space="preserve"> </w:t>
      </w:r>
      <w:r w:rsidRPr="00036A76">
        <w:rPr>
          <w:color w:val="000000"/>
        </w:rPr>
        <w:t>samo snosi, te su Fond i akcionari Fonda</w:t>
      </w:r>
      <w:r w:rsidRPr="00036A76">
        <w:rPr>
          <w:b/>
          <w:bCs/>
          <w:i/>
          <w:iCs/>
          <w:color w:val="000000"/>
        </w:rPr>
        <w:t xml:space="preserve"> </w:t>
      </w:r>
      <w:r w:rsidRPr="00036A76">
        <w:rPr>
          <w:color w:val="000000"/>
        </w:rPr>
        <w:t>oslobođeni ove vrste izdataka.</w:t>
      </w:r>
    </w:p>
    <w:p w:rsidR="00AE1277" w:rsidRPr="00036A76" w:rsidRDefault="00AE1277" w:rsidP="00AE1277">
      <w:pPr>
        <w:autoSpaceDE w:val="0"/>
        <w:autoSpaceDN w:val="0"/>
        <w:adjustRightInd w:val="0"/>
        <w:ind w:left="0" w:firstLine="0"/>
        <w:contextualSpacing/>
        <w:rPr>
          <w:b/>
          <w:bCs/>
          <w:i/>
          <w:iCs/>
          <w:color w:val="000000"/>
        </w:rPr>
      </w:pPr>
      <w:r w:rsidRPr="00036A76">
        <w:rPr>
          <w:bCs/>
          <w:iCs/>
          <w:color w:val="000000"/>
        </w:rPr>
        <w:t>Naknade Komisiji,</w:t>
      </w:r>
      <w:r w:rsidRPr="00036A76">
        <w:rPr>
          <w:color w:val="000000"/>
        </w:rPr>
        <w:t xml:space="preserve"> koje Komisija</w:t>
      </w:r>
      <w:r w:rsidRPr="00036A76">
        <w:rPr>
          <w:b/>
          <w:bCs/>
          <w:i/>
          <w:iCs/>
          <w:color w:val="000000"/>
        </w:rPr>
        <w:t xml:space="preserve"> </w:t>
      </w:r>
      <w:r w:rsidRPr="00036A76">
        <w:rPr>
          <w:color w:val="000000"/>
        </w:rPr>
        <w:t>obračunava u skladu sa Tarifama</w:t>
      </w:r>
      <w:r w:rsidRPr="00036A76">
        <w:rPr>
          <w:b/>
          <w:bCs/>
          <w:i/>
          <w:iCs/>
          <w:color w:val="000000"/>
        </w:rPr>
        <w:t xml:space="preserve"> </w:t>
      </w:r>
      <w:r w:rsidRPr="00036A76">
        <w:rPr>
          <w:color w:val="000000"/>
        </w:rPr>
        <w:t>naknada objavljenim u „Službenom</w:t>
      </w:r>
      <w:r w:rsidRPr="00036A76">
        <w:rPr>
          <w:b/>
          <w:bCs/>
          <w:i/>
          <w:iCs/>
          <w:color w:val="000000"/>
        </w:rPr>
        <w:t xml:space="preserve"> </w:t>
      </w:r>
      <w:r w:rsidRPr="00036A76">
        <w:rPr>
          <w:color w:val="000000"/>
        </w:rPr>
        <w:t>glasniku Republike Srpske“, broj: 58/10, 22/13 i 28/16.</w:t>
      </w:r>
      <w:r w:rsidRPr="00036A76">
        <w:rPr>
          <w:b/>
          <w:bCs/>
          <w:i/>
          <w:iCs/>
          <w:color w:val="000000"/>
        </w:rPr>
        <w:t xml:space="preserve"> </w:t>
      </w:r>
    </w:p>
    <w:p w:rsidR="00AE1277" w:rsidRPr="00036A76" w:rsidRDefault="00AE1277" w:rsidP="00AE1277">
      <w:pPr>
        <w:autoSpaceDE w:val="0"/>
        <w:autoSpaceDN w:val="0"/>
        <w:adjustRightInd w:val="0"/>
        <w:ind w:left="0" w:firstLine="0"/>
        <w:contextualSpacing/>
        <w:rPr>
          <w:color w:val="000000"/>
        </w:rPr>
      </w:pPr>
      <w:r w:rsidRPr="00036A76">
        <w:rPr>
          <w:bCs/>
          <w:iCs/>
          <w:color w:val="000000"/>
        </w:rPr>
        <w:t>Naknada troškova uvrštenja na Banjalučku berzu a.d. Banja Luka</w:t>
      </w:r>
      <w:r w:rsidRPr="00036A76">
        <w:rPr>
          <w:b/>
          <w:bCs/>
          <w:i/>
          <w:iCs/>
          <w:color w:val="000000"/>
        </w:rPr>
        <w:t xml:space="preserve"> </w:t>
      </w:r>
      <w:r w:rsidRPr="00036A76">
        <w:rPr>
          <w:color w:val="000000"/>
        </w:rPr>
        <w:t>plaćaju se sa računa Fonda u stvarnom</w:t>
      </w:r>
      <w:r w:rsidRPr="00036A76">
        <w:rPr>
          <w:b/>
          <w:bCs/>
          <w:i/>
          <w:iCs/>
          <w:color w:val="000000"/>
        </w:rPr>
        <w:t xml:space="preserve"> </w:t>
      </w:r>
      <w:r w:rsidRPr="00036A76">
        <w:rPr>
          <w:color w:val="000000"/>
        </w:rPr>
        <w:t>iznosu, a prema Tarifama Berze na</w:t>
      </w:r>
      <w:r w:rsidRPr="00036A76">
        <w:rPr>
          <w:b/>
          <w:bCs/>
          <w:i/>
          <w:iCs/>
          <w:color w:val="000000"/>
        </w:rPr>
        <w:t xml:space="preserve"> </w:t>
      </w:r>
      <w:r w:rsidRPr="00036A76">
        <w:rPr>
          <w:color w:val="000000"/>
        </w:rPr>
        <w:t>godišnjem nivou.</w:t>
      </w:r>
    </w:p>
    <w:p w:rsidR="00AE1277" w:rsidRPr="00036A76" w:rsidRDefault="00AE1277" w:rsidP="00AE1277">
      <w:pPr>
        <w:pStyle w:val="PlainText"/>
        <w:contextualSpacing/>
        <w:jc w:val="both"/>
        <w:rPr>
          <w:rFonts w:ascii="Times New Roman" w:hAnsi="Times New Roman" w:cs="Times New Roman"/>
          <w:sz w:val="24"/>
          <w:szCs w:val="24"/>
          <w:lang w:val="hr-HR"/>
        </w:rPr>
      </w:pPr>
      <w:r w:rsidRPr="00036A76">
        <w:rPr>
          <w:rFonts w:ascii="Times New Roman" w:hAnsi="Times New Roman" w:cs="Times New Roman"/>
          <w:sz w:val="24"/>
          <w:szCs w:val="24"/>
          <w:lang w:val="hr-HR"/>
        </w:rPr>
        <w:t>Troškovi poreza koje je Fond dužan platiti na imovinu ili dobit i ostale naknade koje Fond plaća u skladu sa Zakonom, odnosno drugim propisima, po osnovu člana 66. stav 1. tačke j. i l. Zakona o investicionim fondovima snosi direktno Fond u skladu sa članom 67. Zakona o investicionim fondovima.</w:t>
      </w:r>
    </w:p>
    <w:p w:rsidR="00AE1277" w:rsidRPr="00036A76" w:rsidRDefault="00AE1277" w:rsidP="00AE1277">
      <w:pPr>
        <w:pStyle w:val="PlainText"/>
        <w:contextualSpacing/>
        <w:jc w:val="both"/>
        <w:rPr>
          <w:rFonts w:ascii="Times New Roman" w:hAnsi="Times New Roman" w:cs="Times New Roman"/>
          <w:sz w:val="24"/>
          <w:szCs w:val="24"/>
          <w:lang w:val="hr-HR"/>
        </w:rPr>
      </w:pPr>
      <w:r w:rsidRPr="00036A76">
        <w:rPr>
          <w:rFonts w:ascii="Times New Roman" w:hAnsi="Times New Roman" w:cs="Times New Roman"/>
          <w:color w:val="000000"/>
          <w:sz w:val="24"/>
          <w:szCs w:val="24"/>
        </w:rPr>
        <w:t xml:space="preserve">Troškovi navedeni u </w:t>
      </w:r>
      <w:r w:rsidRPr="00036A76">
        <w:rPr>
          <w:rFonts w:ascii="Times New Roman" w:hAnsi="Times New Roman" w:cs="Times New Roman"/>
          <w:sz w:val="24"/>
          <w:szCs w:val="24"/>
        </w:rPr>
        <w:t>članu 67.</w:t>
      </w:r>
      <w:r w:rsidRPr="00036A76">
        <w:rPr>
          <w:rFonts w:ascii="Times New Roman" w:hAnsi="Times New Roman" w:cs="Times New Roman"/>
          <w:color w:val="000000"/>
          <w:sz w:val="24"/>
          <w:szCs w:val="24"/>
        </w:rPr>
        <w:t xml:space="preserve"> Statuta</w:t>
      </w:r>
      <w:r w:rsidRPr="00036A76">
        <w:rPr>
          <w:rFonts w:ascii="Times New Roman" w:hAnsi="Times New Roman" w:cs="Times New Roman"/>
          <w:b/>
          <w:bCs/>
          <w:i/>
          <w:iCs/>
          <w:color w:val="000000"/>
          <w:sz w:val="24"/>
          <w:szCs w:val="24"/>
        </w:rPr>
        <w:t xml:space="preserve"> </w:t>
      </w:r>
      <w:r w:rsidRPr="00036A76">
        <w:rPr>
          <w:rFonts w:ascii="Times New Roman" w:hAnsi="Times New Roman" w:cs="Times New Roman"/>
          <w:color w:val="000000"/>
          <w:sz w:val="24"/>
          <w:szCs w:val="24"/>
        </w:rPr>
        <w:t>Fonda obračunavaju se i naplaćuju u</w:t>
      </w:r>
      <w:r w:rsidRPr="00036A76">
        <w:rPr>
          <w:rFonts w:ascii="Times New Roman" w:hAnsi="Times New Roman" w:cs="Times New Roman"/>
          <w:b/>
          <w:bCs/>
          <w:i/>
          <w:iCs/>
          <w:color w:val="000000"/>
          <w:sz w:val="24"/>
          <w:szCs w:val="24"/>
        </w:rPr>
        <w:t xml:space="preserve"> </w:t>
      </w:r>
      <w:r w:rsidRPr="00036A76">
        <w:rPr>
          <w:rFonts w:ascii="Times New Roman" w:hAnsi="Times New Roman" w:cs="Times New Roman"/>
          <w:color w:val="000000"/>
          <w:sz w:val="24"/>
          <w:szCs w:val="24"/>
        </w:rPr>
        <w:t>stvarnom fakturisanom iznosu.</w:t>
      </w:r>
    </w:p>
    <w:p w:rsidR="00AE1277" w:rsidRPr="00036A76" w:rsidRDefault="00AE1277" w:rsidP="00AE1277">
      <w:pPr>
        <w:autoSpaceDE w:val="0"/>
        <w:autoSpaceDN w:val="0"/>
        <w:adjustRightInd w:val="0"/>
        <w:ind w:left="0" w:firstLine="0"/>
        <w:contextualSpacing/>
        <w:rPr>
          <w:rFonts w:eastAsia="Calibri"/>
          <w:bCs/>
        </w:rPr>
      </w:pPr>
      <w:r w:rsidRPr="00036A76">
        <w:rPr>
          <w:bCs/>
        </w:rPr>
        <w:t>Pokazatelji ukupnih naknada i troškova Fonda, u koje ne</w:t>
      </w:r>
      <w:r w:rsidR="00E31489" w:rsidRPr="00036A76">
        <w:rPr>
          <w:bCs/>
        </w:rPr>
        <w:t xml:space="preserve"> ulaze troškovi poreza koje je F</w:t>
      </w:r>
      <w:r w:rsidRPr="00036A76">
        <w:rPr>
          <w:bCs/>
        </w:rPr>
        <w:t>ond dužan platiti na imovinu ili dobit, i ostale naknade određene posebnim zakonima (naknade Komisije), ne smiju prelaziti 3,5% ponderisane prosječne godišnje tržišne vrijednosti akcija Fonda po završetku godišnjeg obračunskog perioda. Društvo snosi sve nastale troškove koji u određenoj poslovnoj godini pređu najviši dopušteni pokazatelj ukupnih troškova u visini od 3,5% ponderisane prosječne godišnje tržišne vrijednosti akcija Fonda.</w:t>
      </w:r>
    </w:p>
    <w:p w:rsidR="00125BCC" w:rsidRPr="00036A76" w:rsidRDefault="00125BCC" w:rsidP="006C2B2C">
      <w:pPr>
        <w:ind w:left="0" w:firstLine="0"/>
        <w:rPr>
          <w:lang w:val="sr-Latn-BA"/>
        </w:rPr>
      </w:pPr>
    </w:p>
    <w:p w:rsidR="00A96AD2" w:rsidRPr="00036A76" w:rsidRDefault="009129FD" w:rsidP="00F553CF">
      <w:pPr>
        <w:pStyle w:val="ListParagraph"/>
        <w:numPr>
          <w:ilvl w:val="0"/>
          <w:numId w:val="10"/>
        </w:numPr>
        <w:rPr>
          <w:b/>
        </w:rPr>
      </w:pPr>
      <w:r w:rsidRPr="00036A76">
        <w:rPr>
          <w:b/>
        </w:rPr>
        <w:t>PODACI O DRUŠTVU ZA UPRAVLJANJE</w:t>
      </w:r>
    </w:p>
    <w:p w:rsidR="00A96AD2" w:rsidRPr="00036A76" w:rsidRDefault="00331DFB" w:rsidP="00A96AD2">
      <w:pPr>
        <w:ind w:left="0" w:firstLine="0"/>
        <w:contextualSpacing/>
        <w:rPr>
          <w:lang w:val="sl-SI"/>
        </w:rPr>
      </w:pPr>
      <w:r w:rsidRPr="00036A76">
        <w:rPr>
          <w:lang w:val="sl-SI"/>
        </w:rPr>
        <w:t>Fondom upravlja d</w:t>
      </w:r>
      <w:r w:rsidR="00A96AD2" w:rsidRPr="00036A76">
        <w:rPr>
          <w:lang w:val="sl-SI"/>
        </w:rPr>
        <w:t>ruštvo za upravljanje investicionim fondovima »INVEST NOVA« a.d. Bijeljina.</w:t>
      </w:r>
    </w:p>
    <w:p w:rsidR="00A96AD2" w:rsidRPr="00036A76" w:rsidRDefault="00331DFB" w:rsidP="00A96AD2">
      <w:pPr>
        <w:ind w:left="0" w:firstLine="0"/>
        <w:contextualSpacing/>
        <w:rPr>
          <w:lang w:val="sl-SI"/>
        </w:rPr>
      </w:pPr>
      <w:r w:rsidRPr="00036A76">
        <w:rPr>
          <w:lang w:val="sl-SI"/>
        </w:rPr>
        <w:t>Firma društva glasi: d</w:t>
      </w:r>
      <w:r w:rsidR="00A96AD2" w:rsidRPr="00036A76">
        <w:rPr>
          <w:lang w:val="sl-SI"/>
        </w:rPr>
        <w:t>ruštvo za upravljanje investicionim fondovima »INVEST NOVA« a.d. Bijeljina.</w:t>
      </w:r>
    </w:p>
    <w:p w:rsidR="00A96AD2" w:rsidRPr="00036A76" w:rsidRDefault="00056B0A" w:rsidP="00A96AD2">
      <w:pPr>
        <w:ind w:left="0" w:firstLine="0"/>
        <w:contextualSpacing/>
        <w:rPr>
          <w:lang w:val="sl-SI"/>
        </w:rPr>
      </w:pPr>
      <w:r w:rsidRPr="00036A76">
        <w:rPr>
          <w:lang w:val="sl-SI"/>
        </w:rPr>
        <w:t>Skraćeni naziv firme D</w:t>
      </w:r>
      <w:r w:rsidR="00A96AD2" w:rsidRPr="00036A76">
        <w:rPr>
          <w:lang w:val="sl-SI"/>
        </w:rPr>
        <w:t xml:space="preserve">ruštva </w:t>
      </w:r>
      <w:r w:rsidR="00331DFB" w:rsidRPr="00036A76">
        <w:rPr>
          <w:lang w:val="sl-SI"/>
        </w:rPr>
        <w:t xml:space="preserve">za upravljanje </w:t>
      </w:r>
      <w:r w:rsidR="00A96AD2" w:rsidRPr="00036A76">
        <w:rPr>
          <w:lang w:val="sl-SI"/>
        </w:rPr>
        <w:t>glasi: »INVEST NOVA« a.d. Bijeljina.</w:t>
      </w:r>
    </w:p>
    <w:p w:rsidR="00A96AD2" w:rsidRPr="00036A76" w:rsidRDefault="00A96AD2" w:rsidP="00A96AD2">
      <w:pPr>
        <w:autoSpaceDE w:val="0"/>
        <w:autoSpaceDN w:val="0"/>
        <w:adjustRightInd w:val="0"/>
        <w:ind w:left="0" w:firstLine="0"/>
        <w:contextualSpacing/>
      </w:pPr>
      <w:r w:rsidRPr="00036A76">
        <w:t>Matični broj: 01935321</w:t>
      </w:r>
    </w:p>
    <w:p w:rsidR="00A96AD2" w:rsidRPr="00036A76" w:rsidRDefault="00E31489" w:rsidP="00A96AD2">
      <w:pPr>
        <w:autoSpaceDE w:val="0"/>
        <w:autoSpaceDN w:val="0"/>
        <w:adjustRightInd w:val="0"/>
        <w:ind w:left="0" w:firstLine="0"/>
        <w:contextualSpacing/>
      </w:pPr>
      <w:r w:rsidRPr="00036A76">
        <w:t>Registarski sud: O</w:t>
      </w:r>
      <w:r w:rsidR="00A96AD2" w:rsidRPr="00036A76">
        <w:t>snovni sud u Bijeljini</w:t>
      </w:r>
    </w:p>
    <w:p w:rsidR="00A96AD2" w:rsidRPr="00036A76" w:rsidRDefault="00A96AD2" w:rsidP="00A96AD2">
      <w:pPr>
        <w:autoSpaceDE w:val="0"/>
        <w:autoSpaceDN w:val="0"/>
        <w:adjustRightInd w:val="0"/>
        <w:ind w:left="0" w:firstLine="0"/>
        <w:contextualSpacing/>
      </w:pPr>
      <w:r w:rsidRPr="00036A76">
        <w:t>Djelatnost: 66.30 – djelatnost upravljanja fondovima</w:t>
      </w:r>
    </w:p>
    <w:p w:rsidR="00A96AD2" w:rsidRPr="00036A76" w:rsidRDefault="00A96AD2" w:rsidP="00A96AD2">
      <w:pPr>
        <w:autoSpaceDE w:val="0"/>
        <w:autoSpaceDN w:val="0"/>
        <w:adjustRightInd w:val="0"/>
        <w:ind w:left="0" w:firstLine="0"/>
        <w:contextualSpacing/>
      </w:pPr>
      <w:r w:rsidRPr="00036A76">
        <w:t xml:space="preserve">Forma organizovanja: zatvoreno akcionarsko društvo </w:t>
      </w:r>
    </w:p>
    <w:p w:rsidR="00A96AD2" w:rsidRPr="00036A76" w:rsidRDefault="00A96AD2" w:rsidP="00A96AD2">
      <w:pPr>
        <w:autoSpaceDE w:val="0"/>
        <w:autoSpaceDN w:val="0"/>
        <w:adjustRightInd w:val="0"/>
        <w:ind w:left="0" w:firstLine="0"/>
        <w:contextualSpacing/>
      </w:pPr>
      <w:r w:rsidRPr="00036A76">
        <w:t>Regulatorno tijelo</w:t>
      </w:r>
      <w:r w:rsidR="00056B0A" w:rsidRPr="00036A76">
        <w:t xml:space="preserve"> ovlašćeno za nadzor nad radom D</w:t>
      </w:r>
      <w:r w:rsidRPr="00036A76">
        <w:t>ruštva za upravljanje je: Komisija za hartije od vrijednosti Republike Srpske.</w:t>
      </w:r>
    </w:p>
    <w:p w:rsidR="00A96AD2" w:rsidRPr="00036A76" w:rsidRDefault="00A96AD2" w:rsidP="00A96AD2">
      <w:pPr>
        <w:ind w:left="0" w:firstLine="0"/>
        <w:contextualSpacing/>
        <w:rPr>
          <w:lang w:val="sl-SI"/>
        </w:rPr>
      </w:pPr>
      <w:r w:rsidRPr="00036A76">
        <w:rPr>
          <w:lang w:val="sl-SI"/>
        </w:rPr>
        <w:t>Društvo je akcionarsko.</w:t>
      </w:r>
    </w:p>
    <w:p w:rsidR="00A96AD2" w:rsidRPr="00036A76" w:rsidRDefault="00056B0A" w:rsidP="00A96AD2">
      <w:pPr>
        <w:ind w:left="0" w:firstLine="0"/>
        <w:contextualSpacing/>
        <w:rPr>
          <w:lang w:val="sl-SI"/>
        </w:rPr>
      </w:pPr>
      <w:r w:rsidRPr="00036A76">
        <w:rPr>
          <w:lang w:val="sl-SI"/>
        </w:rPr>
        <w:t>Sjedište Društva i mjesto Uprave D</w:t>
      </w:r>
      <w:r w:rsidR="00331DFB" w:rsidRPr="00036A76">
        <w:rPr>
          <w:lang w:val="sl-SI"/>
        </w:rPr>
        <w:t>ruštva je u Bijeljini, u u</w:t>
      </w:r>
      <w:r w:rsidR="00A96AD2" w:rsidRPr="00036A76">
        <w:rPr>
          <w:lang w:val="sl-SI"/>
        </w:rPr>
        <w:t>lici Gavrila Principa, broj 11.</w:t>
      </w:r>
    </w:p>
    <w:p w:rsidR="00A96AD2" w:rsidRPr="00036A76" w:rsidRDefault="00A96AD2" w:rsidP="00A96AD2">
      <w:pPr>
        <w:ind w:left="0" w:firstLine="0"/>
        <w:contextualSpacing/>
        <w:rPr>
          <w:lang w:val="sl-SI"/>
        </w:rPr>
      </w:pPr>
      <w:r w:rsidRPr="00036A76">
        <w:rPr>
          <w:lang w:val="sl-SI"/>
        </w:rPr>
        <w:t>Društvo je osnovano dana 01.03.2007. godine, a dozvolu za nastavak poslovanja je dobilo dana 05.04.2007. godine Rešenjem Komisije za hartije od vrijednosti Republike Srpske, broj: 01-UP-041-1215/07.</w:t>
      </w:r>
    </w:p>
    <w:p w:rsidR="00A96AD2" w:rsidRPr="00036A76" w:rsidRDefault="00A96AD2" w:rsidP="00A96AD2">
      <w:pPr>
        <w:ind w:left="0" w:firstLine="0"/>
        <w:contextualSpacing/>
        <w:rPr>
          <w:lang w:val="sr-Latn-BA"/>
        </w:rPr>
      </w:pPr>
      <w:r w:rsidRPr="00036A76">
        <w:rPr>
          <w:lang w:val="sr-Latn-BA"/>
        </w:rPr>
        <w:t>Društvo</w:t>
      </w:r>
      <w:r w:rsidR="00331DFB" w:rsidRPr="00036A76">
        <w:rPr>
          <w:lang w:val="sr-Latn-BA"/>
        </w:rPr>
        <w:t xml:space="preserve"> upravlja drugim investicionim Fondom i to zatvorenim</w:t>
      </w:r>
      <w:r w:rsidR="002B77E6" w:rsidRPr="00036A76">
        <w:rPr>
          <w:lang w:val="sr-Latn-BA"/>
        </w:rPr>
        <w:t xml:space="preserve"> </w:t>
      </w:r>
      <w:r w:rsidRPr="00036A76">
        <w:rPr>
          <w:lang w:val="sr-Latn-BA"/>
        </w:rPr>
        <w:t>investicionim fondom sa jav</w:t>
      </w:r>
      <w:r w:rsidR="00331DFB" w:rsidRPr="00036A76">
        <w:rPr>
          <w:lang w:val="sr-Latn-BA"/>
        </w:rPr>
        <w:t>nom ponudom</w:t>
      </w:r>
      <w:r w:rsidR="002B77E6" w:rsidRPr="00036A76">
        <w:rPr>
          <w:lang w:val="sr-Latn-BA"/>
        </w:rPr>
        <w:t xml:space="preserve"> </w:t>
      </w:r>
      <w:r w:rsidRPr="00036A76">
        <w:rPr>
          <w:lang w:val="sr-Latn-BA"/>
        </w:rPr>
        <w:t>„Unioinvest fond“ a.d. Bijeljina, u skladu sa Ugovorom o upravljanju, broj: 01/2007  koji je zaključilo sa fondom, dana 06.12.2007. godine</w:t>
      </w:r>
      <w:r w:rsidRPr="00036A76">
        <w:rPr>
          <w:color w:val="FF0000"/>
          <w:lang w:val="sr-Latn-BA"/>
        </w:rPr>
        <w:t>.</w:t>
      </w:r>
    </w:p>
    <w:p w:rsidR="00A96AD2" w:rsidRPr="00036A76" w:rsidRDefault="00A96AD2" w:rsidP="00A96AD2">
      <w:pPr>
        <w:ind w:left="0" w:firstLine="0"/>
        <w:contextualSpacing/>
        <w:rPr>
          <w:lang w:val="sl-SI"/>
        </w:rPr>
      </w:pPr>
      <w:r w:rsidRPr="00036A76">
        <w:rPr>
          <w:lang w:val="sl-SI"/>
        </w:rPr>
        <w:t>Akcijski kapital društva je 1.560.000,00KM i podijeljen je na 1.560 akcija, nominalne vrijednosti od 1.000,00KM po akciji.</w:t>
      </w:r>
    </w:p>
    <w:p w:rsidR="00A96AD2" w:rsidRPr="00036A76" w:rsidRDefault="00056B0A" w:rsidP="00A96AD2">
      <w:pPr>
        <w:ind w:left="0" w:firstLine="0"/>
        <w:contextualSpacing/>
        <w:rPr>
          <w:lang w:val="sl-SI"/>
        </w:rPr>
      </w:pPr>
      <w:r w:rsidRPr="00036A76">
        <w:rPr>
          <w:lang w:val="sl-SI"/>
        </w:rPr>
        <w:t>Osim upravljanja F</w:t>
      </w:r>
      <w:r w:rsidR="00A96AD2" w:rsidRPr="00036A76">
        <w:rPr>
          <w:lang w:val="sl-SI"/>
        </w:rPr>
        <w:t>ondom, kao osnovnom djelatnošću društvo investira u hartije od vrijednosti u svoje ime i za svoj račun.</w:t>
      </w:r>
    </w:p>
    <w:p w:rsidR="00A96AD2" w:rsidRPr="00036A76" w:rsidRDefault="00A96AD2" w:rsidP="00A96AD2">
      <w:pPr>
        <w:autoSpaceDE w:val="0"/>
        <w:autoSpaceDN w:val="0"/>
        <w:adjustRightInd w:val="0"/>
        <w:ind w:left="0" w:firstLine="0"/>
        <w:contextualSpacing/>
        <w:jc w:val="left"/>
      </w:pPr>
      <w:r w:rsidRPr="00036A76">
        <w:lastRenderedPageBreak/>
        <w:t>Lista akcionara Društva sa st</w:t>
      </w:r>
      <w:r w:rsidR="00AC6E33" w:rsidRPr="00036A76">
        <w:t>anjem na dan 31.12.</w:t>
      </w:r>
      <w:r w:rsidRPr="00036A76">
        <w:t>.2016. godine: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520"/>
        <w:gridCol w:w="2397"/>
        <w:gridCol w:w="1915"/>
        <w:gridCol w:w="1916"/>
      </w:tblGrid>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Redni broj</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Član skupštine društva - akcionar</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Identifikacioni broj</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Broj akcija sa pravom glasa</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 xml:space="preserve">% učešće u osnovnom kapitalu </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Stevan Radić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2910958183945</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587</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37,628205</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Goran Avlijaš</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2603955171504</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364</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23,333333</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Progres AD d.o.o. Zvornik</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01874390</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177</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11,346154</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4</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Unicep group d.o.o. Banja Luka</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01986082</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140</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8,974359</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5</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Otrantkomerc a.d. Podgorica</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149900135671746</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68</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4,358974</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6</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Radovan Vučković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1411951153951</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32</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2,051282</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7</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Dragan Šolaja</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1203955131551</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28</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1,794872</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8</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Jelenko Dragičević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1202986180864</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24</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1,538462</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9</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Rajko Vuković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2304949153971</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16</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1,025641</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10</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Veljko Vasiljević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1405956153968</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12</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0,769231</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11</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Brčko Gas Osiguranje d.d. Brčko</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4600013830004</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8</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0,512821</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12</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Obrad Batinić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0709951151008</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13</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Risto Ćeranić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1301957171501</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14</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Srboljub Golubović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0401943100017</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15</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Jovo Gudelj</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0108963153959</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w:t>
            </w:r>
            <w:r w:rsidR="00356181" w:rsidRPr="00036A76">
              <w:t>6</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Miro Klepić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0602957171508</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17</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Anđelko Kozomara</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2111952100037</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18</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Mirjana Maksimović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0812974188583</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19</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Stana Marković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1009961185859</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20</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Radmila Mićić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1411960185866</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21</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Svetozar Mihajlović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1811949180869</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22</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Dragutin Mirović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2710947171423</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23</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Veljko Papaz</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0205949171508</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24</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Petra Perić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2807971186516</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25</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Ljubiša Rakić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1709977180867</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26</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Dragan Savić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2005972180857</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27</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Miloš Savić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1410949183731</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28</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Slavica Savić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1912958187508</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29</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Svetozar Sladojević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0605947100032</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30</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Slavica Stević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2408966185852</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31</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Mira Stojanović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1309955185859</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32</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Vladimir Trišić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2810969180854</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33</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Saša Vasiljević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1707967100013</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34</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Milan Vidić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1106948120042</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35</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Boris Vidović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0602954183734</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36</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Danilo Vujat</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0211957101470</w:t>
            </w:r>
          </w:p>
        </w:tc>
        <w:tc>
          <w:tcPr>
            <w:tcW w:w="1915" w:type="dxa"/>
          </w:tcPr>
          <w:p w:rsidR="002B77E6" w:rsidRPr="00036A76" w:rsidRDefault="002B77E6" w:rsidP="002B77E6">
            <w:pPr>
              <w:tabs>
                <w:tab w:val="center" w:pos="4320"/>
                <w:tab w:val="right" w:pos="8640"/>
              </w:tabs>
              <w:ind w:left="0" w:firstLine="0"/>
              <w:contextualSpacing/>
            </w:pPr>
            <w:r w:rsidRPr="00036A76">
              <w:t>4</w:t>
            </w:r>
          </w:p>
        </w:tc>
        <w:tc>
          <w:tcPr>
            <w:tcW w:w="1916" w:type="dxa"/>
          </w:tcPr>
          <w:p w:rsidR="002B77E6" w:rsidRPr="00036A76" w:rsidRDefault="002B77E6" w:rsidP="002B77E6">
            <w:pPr>
              <w:tabs>
                <w:tab w:val="center" w:pos="4320"/>
                <w:tab w:val="right" w:pos="8640"/>
              </w:tabs>
              <w:ind w:left="0" w:firstLine="0"/>
              <w:contextualSpacing/>
            </w:pPr>
            <w:r w:rsidRPr="00036A76">
              <w:t>0,256410</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37</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Bojan Marković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0407985180868</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0,128205</w:t>
            </w:r>
          </w:p>
        </w:tc>
      </w:tr>
      <w:tr w:rsidR="002B77E6" w:rsidRPr="00036A76" w:rsidTr="002B77E6">
        <w:tc>
          <w:tcPr>
            <w:tcW w:w="828"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lastRenderedPageBreak/>
              <w:t>38</w:t>
            </w:r>
          </w:p>
        </w:tc>
        <w:tc>
          <w:tcPr>
            <w:tcW w:w="2520"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Dejan Marković</w:t>
            </w:r>
          </w:p>
        </w:tc>
        <w:tc>
          <w:tcPr>
            <w:tcW w:w="2397"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2001983180888</w:t>
            </w:r>
          </w:p>
        </w:tc>
        <w:tc>
          <w:tcPr>
            <w:tcW w:w="1915"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2</w:t>
            </w:r>
          </w:p>
        </w:tc>
        <w:tc>
          <w:tcPr>
            <w:tcW w:w="1916" w:type="dxa"/>
          </w:tcPr>
          <w:p w:rsidR="002B77E6" w:rsidRPr="00036A76" w:rsidRDefault="002B77E6" w:rsidP="002B77E6">
            <w:pPr>
              <w:tabs>
                <w:tab w:val="center" w:pos="4320"/>
                <w:tab w:val="right" w:pos="8640"/>
              </w:tabs>
              <w:autoSpaceDE w:val="0"/>
              <w:autoSpaceDN w:val="0"/>
              <w:adjustRightInd w:val="0"/>
              <w:ind w:left="0" w:firstLine="0"/>
              <w:contextualSpacing/>
            </w:pPr>
            <w:r w:rsidRPr="00036A76">
              <w:t>0,128205</w:t>
            </w:r>
          </w:p>
        </w:tc>
      </w:tr>
    </w:tbl>
    <w:p w:rsidR="00A96AD2" w:rsidRPr="00036A76" w:rsidRDefault="00A96AD2" w:rsidP="00A96AD2">
      <w:pPr>
        <w:ind w:left="0" w:firstLine="0"/>
        <w:contextualSpacing/>
        <w:rPr>
          <w:lang w:val="sr-Latn-BA"/>
        </w:rPr>
      </w:pPr>
      <w:r w:rsidRPr="00036A76">
        <w:rPr>
          <w:lang w:val="sr-Latn-BA"/>
        </w:rPr>
        <w:t>Akcionari povezani sa Društvom su: Stevan Radić, direktor Društva i „Progres AD d.o.o. Zvornik.</w:t>
      </w:r>
    </w:p>
    <w:p w:rsidR="00A96AD2" w:rsidRPr="00036A76" w:rsidRDefault="00A96AD2" w:rsidP="00A96AD2">
      <w:pPr>
        <w:pStyle w:val="BodyTextIndent2"/>
        <w:spacing w:after="0" w:line="240" w:lineRule="auto"/>
        <w:ind w:left="0"/>
        <w:jc w:val="both"/>
        <w:rPr>
          <w:rFonts w:ascii="Times New Roman" w:hAnsi="Times New Roman"/>
          <w:sz w:val="24"/>
        </w:rPr>
      </w:pPr>
      <w:r w:rsidRPr="00036A76">
        <w:rPr>
          <w:rFonts w:ascii="Times New Roman" w:hAnsi="Times New Roman"/>
          <w:sz w:val="24"/>
        </w:rPr>
        <w:t>U odnosu na imovinu Fonda Društvo za upravljanje ne koristi usluge investicionog savjetovanja nekog trećeg lica.</w:t>
      </w:r>
    </w:p>
    <w:p w:rsidR="002B77E6" w:rsidRPr="00036A76" w:rsidRDefault="002B77E6" w:rsidP="00A96AD2">
      <w:pPr>
        <w:pStyle w:val="BodyTextIndent2"/>
        <w:spacing w:after="0" w:line="240" w:lineRule="auto"/>
        <w:ind w:left="0"/>
        <w:jc w:val="both"/>
        <w:rPr>
          <w:rFonts w:ascii="Times New Roman" w:hAnsi="Times New Roman"/>
          <w:sz w:val="24"/>
        </w:rPr>
      </w:pPr>
    </w:p>
    <w:p w:rsidR="00371127" w:rsidRPr="00036A76" w:rsidRDefault="00264A7E" w:rsidP="00F553CF">
      <w:pPr>
        <w:pStyle w:val="ListParagraph"/>
        <w:numPr>
          <w:ilvl w:val="0"/>
          <w:numId w:val="10"/>
        </w:numPr>
        <w:rPr>
          <w:b/>
          <w:lang w:val="sr-Latn-BA"/>
        </w:rPr>
      </w:pPr>
      <w:r w:rsidRPr="00036A76">
        <w:rPr>
          <w:b/>
          <w:lang w:val="sr-Latn-BA"/>
        </w:rPr>
        <w:t>ČUVANJE I VOĐENJE IMOVINE</w:t>
      </w:r>
    </w:p>
    <w:p w:rsidR="002D4CC5" w:rsidRPr="00036A76" w:rsidRDefault="004217C0" w:rsidP="005838B8">
      <w:pPr>
        <w:autoSpaceDE w:val="0"/>
        <w:autoSpaceDN w:val="0"/>
        <w:adjustRightInd w:val="0"/>
        <w:ind w:left="0" w:firstLine="0"/>
        <w:contextualSpacing/>
      </w:pPr>
      <w:r w:rsidRPr="00036A76">
        <w:t>Depozitar Fonda je Centralni registar hartija od vrijednosti</w:t>
      </w:r>
      <w:r w:rsidR="00A04D72" w:rsidRPr="00036A76">
        <w:rPr>
          <w:shd w:val="clear" w:color="auto" w:fill="FFFFFF"/>
        </w:rPr>
        <w:t xml:space="preserve">, akcionarsko društvo, </w:t>
      </w:r>
      <w:r w:rsidRPr="00036A76">
        <w:t xml:space="preserve">Ulica Sime Šolaje 1, Banja Luka. </w:t>
      </w:r>
    </w:p>
    <w:p w:rsidR="00A04D72" w:rsidRPr="00036A76" w:rsidRDefault="00A04D72" w:rsidP="005838B8">
      <w:pPr>
        <w:autoSpaceDE w:val="0"/>
        <w:autoSpaceDN w:val="0"/>
        <w:adjustRightInd w:val="0"/>
        <w:ind w:left="0" w:firstLine="0"/>
        <w:contextualSpacing/>
      </w:pPr>
      <w:r w:rsidRPr="00036A76">
        <w:t>Skraćeno poslovno ime: Centralni registar hartija od vrijednosti a.d. Banja Luka</w:t>
      </w:r>
    </w:p>
    <w:p w:rsidR="00A04D72" w:rsidRPr="00036A76" w:rsidRDefault="00A04D72" w:rsidP="005838B8">
      <w:pPr>
        <w:autoSpaceDE w:val="0"/>
        <w:autoSpaceDN w:val="0"/>
        <w:adjustRightInd w:val="0"/>
        <w:ind w:left="0" w:firstLine="0"/>
        <w:contextualSpacing/>
      </w:pPr>
      <w:r w:rsidRPr="00036A76">
        <w:t>Matični broj: 01942026</w:t>
      </w:r>
    </w:p>
    <w:p w:rsidR="00A04D72" w:rsidRPr="00036A76" w:rsidRDefault="00A04D72" w:rsidP="005838B8">
      <w:pPr>
        <w:autoSpaceDE w:val="0"/>
        <w:autoSpaceDN w:val="0"/>
        <w:adjustRightInd w:val="0"/>
        <w:ind w:left="0" w:firstLine="0"/>
        <w:contextualSpacing/>
      </w:pPr>
      <w:r w:rsidRPr="00036A76">
        <w:t>Telefon/Faks: 051/348-710; 051/348-718</w:t>
      </w:r>
    </w:p>
    <w:p w:rsidR="00A04D72" w:rsidRPr="00036A76" w:rsidRDefault="00A04D72" w:rsidP="005838B8">
      <w:pPr>
        <w:autoSpaceDE w:val="0"/>
        <w:autoSpaceDN w:val="0"/>
        <w:adjustRightInd w:val="0"/>
        <w:ind w:left="0" w:firstLine="0"/>
        <w:contextualSpacing/>
      </w:pPr>
      <w:r w:rsidRPr="00036A76">
        <w:t xml:space="preserve">e-mail: </w:t>
      </w:r>
      <w:hyperlink r:id="rId13" w:history="1">
        <w:r w:rsidRPr="00036A76">
          <w:rPr>
            <w:rStyle w:val="Hyperlink"/>
          </w:rPr>
          <w:t>info@crhovrs.org</w:t>
        </w:r>
      </w:hyperlink>
    </w:p>
    <w:p w:rsidR="00A04D72" w:rsidRPr="00036A76" w:rsidRDefault="00A04D72" w:rsidP="005838B8">
      <w:pPr>
        <w:autoSpaceDE w:val="0"/>
        <w:autoSpaceDN w:val="0"/>
        <w:adjustRightInd w:val="0"/>
        <w:ind w:left="0" w:firstLine="0"/>
        <w:contextualSpacing/>
      </w:pPr>
      <w:r w:rsidRPr="00036A76">
        <w:t>Registar suda: Okružni privredni sud Banja Luka, reg. uložak, broj: 1-11975-00, broj rješenja: 057-0-Reg-11-001862</w:t>
      </w:r>
    </w:p>
    <w:p w:rsidR="00A04D72" w:rsidRPr="00036A76" w:rsidRDefault="00A04D72" w:rsidP="005838B8">
      <w:pPr>
        <w:autoSpaceDE w:val="0"/>
        <w:autoSpaceDN w:val="0"/>
        <w:adjustRightInd w:val="0"/>
        <w:ind w:left="0" w:firstLine="0"/>
        <w:contextualSpacing/>
      </w:pPr>
      <w:r w:rsidRPr="00036A76">
        <w:t>Datum osnivanja: 26.02.2001. godine</w:t>
      </w:r>
    </w:p>
    <w:tbl>
      <w:tblPr>
        <w:tblW w:w="0" w:type="auto"/>
        <w:shd w:val="clear" w:color="auto" w:fill="FFFFFF"/>
        <w:tblCellMar>
          <w:left w:w="0" w:type="dxa"/>
          <w:right w:w="0" w:type="dxa"/>
        </w:tblCellMar>
        <w:tblLook w:val="04A0"/>
      </w:tblPr>
      <w:tblGrid>
        <w:gridCol w:w="126"/>
        <w:gridCol w:w="126"/>
      </w:tblGrid>
      <w:tr w:rsidR="00A04D72" w:rsidRPr="00036A76" w:rsidTr="00A04D72">
        <w:tc>
          <w:tcPr>
            <w:tcW w:w="0" w:type="auto"/>
            <w:shd w:val="clear" w:color="auto" w:fill="FFFFFF"/>
            <w:tcMar>
              <w:top w:w="0" w:type="dxa"/>
              <w:left w:w="60" w:type="dxa"/>
              <w:bottom w:w="0" w:type="dxa"/>
              <w:right w:w="60" w:type="dxa"/>
            </w:tcMar>
            <w:hideMark/>
          </w:tcPr>
          <w:p w:rsidR="00A04D72" w:rsidRPr="00036A76" w:rsidRDefault="00A04D72" w:rsidP="00A04D72">
            <w:pPr>
              <w:spacing w:line="252" w:lineRule="atLeast"/>
              <w:ind w:left="0" w:firstLine="0"/>
              <w:jc w:val="left"/>
              <w:rPr>
                <w:rFonts w:eastAsia="Times New Roman"/>
                <w:bCs/>
              </w:rPr>
            </w:pPr>
          </w:p>
        </w:tc>
        <w:tc>
          <w:tcPr>
            <w:tcW w:w="0" w:type="auto"/>
            <w:shd w:val="clear" w:color="auto" w:fill="FFFFFF"/>
            <w:tcMar>
              <w:top w:w="0" w:type="dxa"/>
              <w:left w:w="60" w:type="dxa"/>
              <w:bottom w:w="0" w:type="dxa"/>
              <w:right w:w="60" w:type="dxa"/>
            </w:tcMar>
            <w:hideMark/>
          </w:tcPr>
          <w:p w:rsidR="00A04D72" w:rsidRPr="00036A76" w:rsidRDefault="00A04D72" w:rsidP="00A04D72">
            <w:pPr>
              <w:spacing w:line="252" w:lineRule="atLeast"/>
              <w:ind w:left="0" w:firstLine="0"/>
              <w:jc w:val="left"/>
              <w:rPr>
                <w:rFonts w:eastAsia="Times New Roman"/>
              </w:rPr>
            </w:pPr>
          </w:p>
        </w:tc>
      </w:tr>
      <w:tr w:rsidR="000A299C" w:rsidRPr="00036A76" w:rsidTr="000A299C">
        <w:tc>
          <w:tcPr>
            <w:tcW w:w="0" w:type="auto"/>
            <w:shd w:val="clear" w:color="auto" w:fill="FFFFFF"/>
            <w:tcMar>
              <w:top w:w="0" w:type="dxa"/>
              <w:left w:w="60" w:type="dxa"/>
              <w:bottom w:w="0" w:type="dxa"/>
              <w:right w:w="60" w:type="dxa"/>
            </w:tcMar>
            <w:hideMark/>
          </w:tcPr>
          <w:p w:rsidR="000A299C" w:rsidRPr="00036A76" w:rsidRDefault="000A299C" w:rsidP="000A299C">
            <w:pPr>
              <w:spacing w:line="252" w:lineRule="atLeast"/>
              <w:ind w:left="0" w:firstLine="0"/>
              <w:jc w:val="left"/>
              <w:rPr>
                <w:rFonts w:eastAsia="Times New Roman"/>
              </w:rPr>
            </w:pPr>
          </w:p>
        </w:tc>
        <w:tc>
          <w:tcPr>
            <w:tcW w:w="0" w:type="auto"/>
            <w:shd w:val="clear" w:color="auto" w:fill="FFFFFF"/>
            <w:tcMar>
              <w:top w:w="0" w:type="dxa"/>
              <w:left w:w="60" w:type="dxa"/>
              <w:bottom w:w="0" w:type="dxa"/>
              <w:right w:w="60" w:type="dxa"/>
            </w:tcMar>
            <w:hideMark/>
          </w:tcPr>
          <w:p w:rsidR="000A299C" w:rsidRPr="00036A76" w:rsidRDefault="000A299C" w:rsidP="000A299C">
            <w:pPr>
              <w:spacing w:line="252" w:lineRule="atLeast"/>
              <w:ind w:left="0" w:firstLine="0"/>
              <w:jc w:val="left"/>
              <w:rPr>
                <w:rFonts w:eastAsia="Times New Roman"/>
              </w:rPr>
            </w:pPr>
          </w:p>
        </w:tc>
      </w:tr>
      <w:tr w:rsidR="00A04D72" w:rsidRPr="00036A76" w:rsidTr="00A04D72">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r>
      <w:tr w:rsidR="00A04D72" w:rsidRPr="00036A76" w:rsidTr="00A04D72">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r>
      <w:tr w:rsidR="00A04D72" w:rsidRPr="00036A76" w:rsidTr="00A04D72">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r>
      <w:tr w:rsidR="00A04D72" w:rsidRPr="00036A76" w:rsidTr="00A04D72">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r>
      <w:tr w:rsidR="00A04D72" w:rsidRPr="00036A76" w:rsidTr="00A04D72">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036A76" w:rsidRDefault="00A04D72" w:rsidP="00A04D72">
            <w:pPr>
              <w:rPr>
                <w:rFonts w:eastAsia="Times New Roman"/>
              </w:rPr>
            </w:pPr>
          </w:p>
        </w:tc>
      </w:tr>
    </w:tbl>
    <w:p w:rsidR="002D4CC5" w:rsidRPr="00036A76" w:rsidRDefault="002D4CC5" w:rsidP="002D4CC5">
      <w:pPr>
        <w:pStyle w:val="NormalWeb"/>
        <w:shd w:val="clear" w:color="auto" w:fill="FFFFFF"/>
        <w:spacing w:before="0" w:beforeAutospacing="0" w:after="0" w:afterAutospacing="0" w:line="252" w:lineRule="atLeast"/>
        <w:jc w:val="both"/>
      </w:pPr>
      <w:r w:rsidRPr="00036A76">
        <w:t>Komisija za hartije od vrijednosti Republike Srpske kao nadležna institucija svojim rješenjem:</w:t>
      </w:r>
      <w:r w:rsidR="000510A0" w:rsidRPr="00036A76">
        <w:t xml:space="preserve"> </w:t>
      </w:r>
      <w:r w:rsidRPr="00036A76">
        <w:t>broj: 01-UP-041-1590/07 od 04.05.2007. godine dala je dozvolu Centralnom registru hartija od vrijednosti a.d. Banja Luka za obavljanje poslova depozitara investicionih fondova. Navedena dozvola produžena je rješenjem broj:</w:t>
      </w:r>
      <w:r w:rsidR="003A5632" w:rsidRPr="00036A76">
        <w:t xml:space="preserve"> </w:t>
      </w:r>
      <w:r w:rsidRPr="00036A76">
        <w:t>01-UP-041-1403/09 od 08.04.2009. godine, zatim rješenjem, broj: 01-UP-041-950/12 od 20.04.2012. godine, te rješenjem Komisije za hartije od vrijednosti RS broj: 01-UP-55-226-1/15 od 24.04.2015. godine.</w:t>
      </w:r>
    </w:p>
    <w:p w:rsidR="00F63465" w:rsidRPr="00036A76" w:rsidRDefault="00F63465" w:rsidP="005838B8">
      <w:pPr>
        <w:autoSpaceDE w:val="0"/>
        <w:autoSpaceDN w:val="0"/>
        <w:adjustRightInd w:val="0"/>
        <w:ind w:left="0" w:firstLine="0"/>
        <w:contextualSpacing/>
      </w:pPr>
      <w:r w:rsidRPr="00036A76">
        <w:t>Depozitar u ime i za račun Fonda:</w:t>
      </w:r>
    </w:p>
    <w:p w:rsidR="00F63465" w:rsidRPr="00036A76" w:rsidRDefault="00056B0A" w:rsidP="00F553CF">
      <w:pPr>
        <w:pStyle w:val="ListParagraph"/>
        <w:numPr>
          <w:ilvl w:val="0"/>
          <w:numId w:val="6"/>
        </w:numPr>
        <w:autoSpaceDE w:val="0"/>
        <w:autoSpaceDN w:val="0"/>
        <w:adjustRightInd w:val="0"/>
      </w:pPr>
      <w:r w:rsidRPr="00036A76">
        <w:t>čuva imovinu F</w:t>
      </w:r>
      <w:r w:rsidR="00F63465" w:rsidRPr="00036A76">
        <w:t>onda vođenjem na poseb</w:t>
      </w:r>
      <w:r w:rsidRPr="00036A76">
        <w:t>nim računima za svaki pojedini F</w:t>
      </w:r>
      <w:r w:rsidR="00F63465" w:rsidRPr="00036A76">
        <w:t>ond i odjeljivanjem imovine svakog pojedinog fonda od imovine ostalih fondova,</w:t>
      </w:r>
    </w:p>
    <w:p w:rsidR="00F63465" w:rsidRPr="00036A76" w:rsidRDefault="00F63465" w:rsidP="00F553CF">
      <w:pPr>
        <w:pStyle w:val="ListParagraph"/>
        <w:numPr>
          <w:ilvl w:val="0"/>
          <w:numId w:val="6"/>
        </w:numPr>
        <w:autoSpaceDE w:val="0"/>
        <w:autoSpaceDN w:val="0"/>
        <w:adjustRightInd w:val="0"/>
      </w:pPr>
      <w:r w:rsidRPr="00036A76">
        <w:t>vodi računa da je obračun neto vrijednosti imovine Fonda po akciji obavljen u skladu sa zakonom, drugim propisima, te Prospektom i Statutom Fonda,</w:t>
      </w:r>
    </w:p>
    <w:p w:rsidR="00F63465" w:rsidRPr="00036A76" w:rsidRDefault="00F63465" w:rsidP="00F553CF">
      <w:pPr>
        <w:pStyle w:val="ListParagraph"/>
        <w:numPr>
          <w:ilvl w:val="0"/>
          <w:numId w:val="6"/>
        </w:numPr>
        <w:autoSpaceDE w:val="0"/>
        <w:autoSpaceDN w:val="0"/>
        <w:adjustRightInd w:val="0"/>
      </w:pPr>
      <w:r w:rsidRPr="00036A76">
        <w:t>kontroliše i odobrava finansijske transakcije u vezi sa poslovanjem Fonda,</w:t>
      </w:r>
    </w:p>
    <w:p w:rsidR="00F63465" w:rsidRPr="00036A76" w:rsidRDefault="00F63465" w:rsidP="00F553CF">
      <w:pPr>
        <w:pStyle w:val="ListParagraph"/>
        <w:numPr>
          <w:ilvl w:val="0"/>
          <w:numId w:val="6"/>
        </w:numPr>
        <w:autoSpaceDE w:val="0"/>
        <w:autoSpaceDN w:val="0"/>
        <w:adjustRightInd w:val="0"/>
      </w:pPr>
      <w:r w:rsidRPr="00036A76">
        <w:t>izvještava Društvo o korporativnim radnjama u vezi sa imovinom Fonda koju čuva i izvršava njegove naloge koji iz toga proizilaze,</w:t>
      </w:r>
    </w:p>
    <w:p w:rsidR="00F63465" w:rsidRPr="00036A76" w:rsidRDefault="00F63465" w:rsidP="00F553CF">
      <w:pPr>
        <w:pStyle w:val="ListParagraph"/>
        <w:numPr>
          <w:ilvl w:val="0"/>
          <w:numId w:val="6"/>
        </w:numPr>
        <w:autoSpaceDE w:val="0"/>
        <w:autoSpaceDN w:val="0"/>
        <w:adjustRightInd w:val="0"/>
      </w:pPr>
      <w:r w:rsidRPr="00036A76">
        <w:t>naplaćuje prihode i druga prava dospjela u korist Fonda koja proizilaze iz njegove imovine,</w:t>
      </w:r>
    </w:p>
    <w:p w:rsidR="00F63465" w:rsidRPr="00036A76" w:rsidRDefault="000A299C" w:rsidP="00F553CF">
      <w:pPr>
        <w:pStyle w:val="ListParagraph"/>
        <w:numPr>
          <w:ilvl w:val="0"/>
          <w:numId w:val="6"/>
        </w:numPr>
        <w:autoSpaceDE w:val="0"/>
        <w:autoSpaceDN w:val="0"/>
        <w:adjustRightInd w:val="0"/>
      </w:pPr>
      <w:r w:rsidRPr="00036A76">
        <w:t>o</w:t>
      </w:r>
      <w:r w:rsidR="00F63465" w:rsidRPr="00036A76">
        <w:t xml:space="preserve">bezbjeđuje da se prihodi Fonda koriste u skladu sa Zakonom </w:t>
      </w:r>
      <w:r w:rsidRPr="00036A76">
        <w:t>i</w:t>
      </w:r>
      <w:r w:rsidR="00F63465" w:rsidRPr="00036A76">
        <w:t xml:space="preserve"> Prospektom ili Statutom Fonda, te da su troškovi koje plaća Fond u skladu sa uslovima iz Prospekta ili Statuta Fonda, odredbama Zakona </w:t>
      </w:r>
      <w:r w:rsidRPr="00036A76">
        <w:t>i</w:t>
      </w:r>
      <w:r w:rsidR="00F63465" w:rsidRPr="00036A76">
        <w:t xml:space="preserve"> drugih propisa</w:t>
      </w:r>
    </w:p>
    <w:p w:rsidR="000A299C" w:rsidRPr="00036A76" w:rsidRDefault="000A299C" w:rsidP="00F553CF">
      <w:pPr>
        <w:numPr>
          <w:ilvl w:val="0"/>
          <w:numId w:val="6"/>
        </w:numPr>
        <w:tabs>
          <w:tab w:val="left" w:pos="709"/>
        </w:tabs>
      </w:pPr>
      <w:r w:rsidRPr="00036A76">
        <w:t>vodi evidenciju poslovanja koje obavlja kao depozitar Fonda i istu na redovnoj osnovi usklađuje sa evidencijom Društva,</w:t>
      </w:r>
    </w:p>
    <w:p w:rsidR="000A299C" w:rsidRPr="00036A76" w:rsidRDefault="000A299C" w:rsidP="00F553CF">
      <w:pPr>
        <w:numPr>
          <w:ilvl w:val="0"/>
          <w:numId w:val="6"/>
        </w:numPr>
        <w:tabs>
          <w:tab w:val="left" w:pos="709"/>
        </w:tabs>
      </w:pPr>
      <w:r w:rsidRPr="00036A76">
        <w:t>prijavljuje Komisiji kršenje Zakona i ugovora koje učini Društvo,</w:t>
      </w:r>
    </w:p>
    <w:p w:rsidR="000A299C" w:rsidRPr="00036A76" w:rsidRDefault="000A299C" w:rsidP="00F553CF">
      <w:pPr>
        <w:numPr>
          <w:ilvl w:val="0"/>
          <w:numId w:val="6"/>
        </w:numPr>
        <w:tabs>
          <w:tab w:val="left" w:pos="709"/>
        </w:tabs>
      </w:pPr>
      <w:r w:rsidRPr="00036A76">
        <w:t>revizorima i drugim ovlašćenim licima uključujući i Komisiju, omogućava uvid u evidencije i drugu dokumentaciju u vezi sa poslovima koje obavlja,</w:t>
      </w:r>
    </w:p>
    <w:p w:rsidR="000A299C" w:rsidRPr="00036A76" w:rsidRDefault="000A299C" w:rsidP="00F553CF">
      <w:pPr>
        <w:numPr>
          <w:ilvl w:val="0"/>
          <w:numId w:val="6"/>
        </w:numPr>
        <w:tabs>
          <w:tab w:val="left" w:pos="709"/>
        </w:tabs>
      </w:pPr>
      <w:r w:rsidRPr="00036A76">
        <w:t>obavlja druge poslove u skladu sa propisima, predviđenih Ugovorom.</w:t>
      </w:r>
    </w:p>
    <w:p w:rsidR="00F63465" w:rsidRPr="00036A76" w:rsidRDefault="00A7228A" w:rsidP="00A7228A">
      <w:pPr>
        <w:autoSpaceDE w:val="0"/>
        <w:autoSpaceDN w:val="0"/>
        <w:adjustRightInd w:val="0"/>
        <w:ind w:left="0" w:firstLine="0"/>
      </w:pPr>
      <w:r w:rsidRPr="00036A76">
        <w:t>Banka Depozitar ima obavezu:</w:t>
      </w:r>
    </w:p>
    <w:p w:rsidR="00A7228A" w:rsidRPr="00036A76" w:rsidRDefault="00A7228A" w:rsidP="00F553CF">
      <w:pPr>
        <w:pStyle w:val="ListParagraph"/>
        <w:numPr>
          <w:ilvl w:val="0"/>
          <w:numId w:val="6"/>
        </w:numPr>
        <w:autoSpaceDE w:val="0"/>
        <w:autoSpaceDN w:val="0"/>
        <w:adjustRightInd w:val="0"/>
      </w:pPr>
      <w:r w:rsidRPr="00036A76">
        <w:t>da odbije izvršenje naloga Društva za koji smatra da nije u skladu sa propisima Fonda,</w:t>
      </w:r>
    </w:p>
    <w:p w:rsidR="00A7228A" w:rsidRPr="00036A76" w:rsidRDefault="00A7228A" w:rsidP="00F553CF">
      <w:pPr>
        <w:pStyle w:val="ListParagraph"/>
        <w:numPr>
          <w:ilvl w:val="0"/>
          <w:numId w:val="6"/>
        </w:numPr>
        <w:autoSpaceDE w:val="0"/>
        <w:autoSpaceDN w:val="0"/>
        <w:adjustRightInd w:val="0"/>
      </w:pPr>
      <w:r w:rsidRPr="00036A76">
        <w:t>da vrši isplatu dividend</w:t>
      </w:r>
      <w:r w:rsidR="000E14CD" w:rsidRPr="00036A76">
        <w:t>e</w:t>
      </w:r>
      <w:r w:rsidRPr="00036A76">
        <w:t xml:space="preserve"> akcionarima Fonda na osnovu naloga Društva,</w:t>
      </w:r>
    </w:p>
    <w:p w:rsidR="00A7228A" w:rsidRPr="00036A76" w:rsidRDefault="000E14CD" w:rsidP="00F553CF">
      <w:pPr>
        <w:pStyle w:val="ListParagraph"/>
        <w:numPr>
          <w:ilvl w:val="0"/>
          <w:numId w:val="6"/>
        </w:numPr>
        <w:autoSpaceDE w:val="0"/>
        <w:autoSpaceDN w:val="0"/>
        <w:adjustRightInd w:val="0"/>
      </w:pPr>
      <w:r w:rsidRPr="00036A76">
        <w:t>da dostavlja izvještaje i</w:t>
      </w:r>
      <w:r w:rsidR="00A7228A" w:rsidRPr="00036A76">
        <w:t xml:space="preserve"> dokumentaciju u vezi sa imovinom </w:t>
      </w:r>
      <w:r w:rsidRPr="00036A76">
        <w:t>i poslovanjem Fonda.</w:t>
      </w:r>
    </w:p>
    <w:p w:rsidR="00A7228A" w:rsidRPr="00036A76" w:rsidRDefault="00A7228A" w:rsidP="00A7228A">
      <w:pPr>
        <w:autoSpaceDE w:val="0"/>
        <w:autoSpaceDN w:val="0"/>
        <w:adjustRightInd w:val="0"/>
        <w:ind w:left="0" w:firstLine="0"/>
      </w:pPr>
      <w:r w:rsidRPr="00036A76">
        <w:t>Društvo ima obavezu:</w:t>
      </w:r>
    </w:p>
    <w:p w:rsidR="00A7228A" w:rsidRPr="00036A76" w:rsidRDefault="00A7228A" w:rsidP="00F553CF">
      <w:pPr>
        <w:pStyle w:val="ListParagraph"/>
        <w:numPr>
          <w:ilvl w:val="0"/>
          <w:numId w:val="6"/>
        </w:numPr>
        <w:autoSpaceDE w:val="0"/>
        <w:autoSpaceDN w:val="0"/>
        <w:adjustRightInd w:val="0"/>
      </w:pPr>
      <w:r w:rsidRPr="00036A76">
        <w:lastRenderedPageBreak/>
        <w:t>da dostavlja naloge u vezi sa poslovima koje obavlja Depozitar,</w:t>
      </w:r>
    </w:p>
    <w:p w:rsidR="00A7228A" w:rsidRPr="00036A76" w:rsidRDefault="00A7228A" w:rsidP="00F553CF">
      <w:pPr>
        <w:pStyle w:val="ListParagraph"/>
        <w:numPr>
          <w:ilvl w:val="0"/>
          <w:numId w:val="6"/>
        </w:numPr>
        <w:autoSpaceDE w:val="0"/>
        <w:autoSpaceDN w:val="0"/>
        <w:adjustRightInd w:val="0"/>
      </w:pPr>
      <w:r w:rsidRPr="00036A76">
        <w:t xml:space="preserve">da dostavlja spisak akcionara Fonda koji imaju pravo na isplatu dividende, i ostale </w:t>
      </w:r>
      <w:r w:rsidR="000E14CD" w:rsidRPr="00036A76">
        <w:t xml:space="preserve">potrebne </w:t>
      </w:r>
      <w:r w:rsidRPr="00036A76">
        <w:t>podatke u vezi sa isplatom dividende akcionarima Fonda,</w:t>
      </w:r>
    </w:p>
    <w:p w:rsidR="00A7228A" w:rsidRPr="00036A76" w:rsidRDefault="00A7228A" w:rsidP="00F553CF">
      <w:pPr>
        <w:pStyle w:val="ListParagraph"/>
        <w:numPr>
          <w:ilvl w:val="0"/>
          <w:numId w:val="6"/>
        </w:numPr>
        <w:autoSpaceDE w:val="0"/>
        <w:autoSpaceDN w:val="0"/>
        <w:adjustRightInd w:val="0"/>
      </w:pPr>
      <w:r w:rsidRPr="00036A76">
        <w:t>da vodi evidenciju transakcija sa imovinom Fonda, te da istu na redovnoj osnovi usklađuje sa evidencijom Depozitara,</w:t>
      </w:r>
    </w:p>
    <w:p w:rsidR="00A7228A" w:rsidRPr="00036A76" w:rsidRDefault="00A7228A" w:rsidP="00F553CF">
      <w:pPr>
        <w:pStyle w:val="ListParagraph"/>
        <w:numPr>
          <w:ilvl w:val="0"/>
          <w:numId w:val="6"/>
        </w:numPr>
        <w:autoSpaceDE w:val="0"/>
        <w:autoSpaceDN w:val="0"/>
        <w:adjustRightInd w:val="0"/>
      </w:pPr>
      <w:r w:rsidRPr="00036A76">
        <w:t>da blagovremeno dostavlja drugu dokumentaciju koja je neophodna Depozitaru za obavljanje poslova utvrđenih ovim ugovorm,</w:t>
      </w:r>
    </w:p>
    <w:p w:rsidR="00A7228A" w:rsidRPr="00036A76" w:rsidRDefault="00A7228A" w:rsidP="00F553CF">
      <w:pPr>
        <w:pStyle w:val="ListParagraph"/>
        <w:numPr>
          <w:ilvl w:val="0"/>
          <w:numId w:val="6"/>
        </w:numPr>
        <w:autoSpaceDE w:val="0"/>
        <w:autoSpaceDN w:val="0"/>
        <w:adjustRightInd w:val="0"/>
      </w:pPr>
      <w:r w:rsidRPr="00036A76">
        <w:t>da blagovremeno informiše Depozitara o svim činjenicama u vezi sa poslovanjem Fonda, a koje bi mogle uticati na</w:t>
      </w:r>
      <w:r w:rsidR="000E14CD" w:rsidRPr="00036A76">
        <w:t xml:space="preserve"> poslove koje obavlja depozitar,</w:t>
      </w:r>
    </w:p>
    <w:p w:rsidR="000E14CD" w:rsidRPr="00036A76" w:rsidRDefault="000E14CD" w:rsidP="00F553CF">
      <w:pPr>
        <w:pStyle w:val="ListParagraph"/>
        <w:numPr>
          <w:ilvl w:val="0"/>
          <w:numId w:val="6"/>
        </w:numPr>
        <w:autoSpaceDE w:val="0"/>
        <w:autoSpaceDN w:val="0"/>
        <w:adjustRightInd w:val="0"/>
      </w:pPr>
      <w:r w:rsidRPr="00036A76">
        <w:t>da obavijesti Depozitara u slučaju izmjena Prospekta Fonda, a ako se izmjene odnose na vrstu imovine u koju je Fondu dozvoljeno ulaganje, politiku ulaganja, visinu godišnje naknade za upravljanje, kao i ukupan iznos troškova upravljanja i poslovanja koji mogu teretiti Fond, da obavijesti Depozitara bez odlaganja.</w:t>
      </w:r>
    </w:p>
    <w:p w:rsidR="004217C0" w:rsidRPr="00036A76" w:rsidRDefault="004217C0" w:rsidP="005838B8">
      <w:pPr>
        <w:autoSpaceDE w:val="0"/>
        <w:autoSpaceDN w:val="0"/>
        <w:adjustRightInd w:val="0"/>
        <w:ind w:left="0" w:firstLine="0"/>
        <w:contextualSpacing/>
      </w:pPr>
      <w:r w:rsidRPr="00036A76">
        <w:t>Upravni odbor Društva je ovlašten, da uz prethodnu saglasnost Nadzornog odbora Fonda izvrši promjenu depozitara Fonda, odnosno banku koja posjeduje dozvolu za obavljanje depozitarnih poslova izdatu od strane Komisije za hartije od vrijednosti Republike Srpske.</w:t>
      </w:r>
    </w:p>
    <w:p w:rsidR="005710C5" w:rsidRPr="00036A76" w:rsidRDefault="005710C5" w:rsidP="004217C0">
      <w:pPr>
        <w:pStyle w:val="ListParagraph"/>
        <w:ind w:left="0" w:firstLine="0"/>
        <w:rPr>
          <w:b/>
          <w:lang w:val="sr-Latn-BA"/>
        </w:rPr>
      </w:pPr>
    </w:p>
    <w:p w:rsidR="00264A7E" w:rsidRPr="00036A76" w:rsidRDefault="00264A7E" w:rsidP="00F553CF">
      <w:pPr>
        <w:pStyle w:val="ListParagraph"/>
        <w:numPr>
          <w:ilvl w:val="0"/>
          <w:numId w:val="10"/>
        </w:numPr>
        <w:rPr>
          <w:b/>
          <w:lang w:val="sr-Latn-BA"/>
        </w:rPr>
      </w:pPr>
      <w:r w:rsidRPr="00036A76">
        <w:rPr>
          <w:b/>
          <w:lang w:val="sr-Latn-BA"/>
        </w:rPr>
        <w:t>PROCJENA</w:t>
      </w:r>
    </w:p>
    <w:p w:rsidR="00264A7E" w:rsidRPr="00036A76" w:rsidRDefault="00264A7E" w:rsidP="00264A7E">
      <w:pPr>
        <w:ind w:left="0" w:firstLine="0"/>
        <w:contextualSpacing/>
        <w:rPr>
          <w:bCs/>
        </w:rPr>
      </w:pPr>
      <w:r w:rsidRPr="00036A76">
        <w:rPr>
          <w:bCs/>
        </w:rPr>
        <w:t>Procjena hartija od vrijedn</w:t>
      </w:r>
      <w:r w:rsidR="00331DFB" w:rsidRPr="00036A76">
        <w:rPr>
          <w:bCs/>
        </w:rPr>
        <w:t>osti iz portfelja Fonda se vrši</w:t>
      </w:r>
      <w:r w:rsidRPr="00036A76">
        <w:rPr>
          <w:bCs/>
        </w:rPr>
        <w:t xml:space="preserve"> u skladu sa Pravilnikom </w:t>
      </w:r>
      <w:r w:rsidR="00322B4A" w:rsidRPr="00036A76">
        <w:rPr>
          <w:bCs/>
        </w:rPr>
        <w:t xml:space="preserve">o utvrdjivanju vrijednosti imovine investicionog fonda I obračunu neto vrijednosti imovine po udjelu ili akciji investicionog fonda. </w:t>
      </w:r>
    </w:p>
    <w:p w:rsidR="003A5632" w:rsidRPr="00036A76" w:rsidRDefault="003A5632" w:rsidP="003A5632">
      <w:pPr>
        <w:ind w:left="0" w:firstLine="0"/>
        <w:contextualSpacing/>
      </w:pPr>
      <w:r w:rsidRPr="00036A76">
        <w:t>Društvo za upravljanje je obavezno za Fond izraditi tromjesečne, polugodišnje i godišnje finansijske izvještaje koji su sastavljeni u skladu sa propisima i standardima o računovodstvu i finansijskom izvještavanju.</w:t>
      </w:r>
    </w:p>
    <w:p w:rsidR="003A5632" w:rsidRPr="00036A76" w:rsidRDefault="001E1B7C" w:rsidP="003A5632">
      <w:pPr>
        <w:ind w:left="0" w:firstLine="0"/>
        <w:contextualSpacing/>
      </w:pPr>
      <w:r w:rsidRPr="00036A76">
        <w:t>Finansijske izvještaje, Z</w:t>
      </w:r>
      <w:r w:rsidR="003A5632" w:rsidRPr="00036A76">
        <w:t>akonom propisana akta i dokumenta Fonda, kao i dodatne informacije o Fondu, akcionari mogu dobiti u sjedištu</w:t>
      </w:r>
      <w:r w:rsidRPr="00036A76">
        <w:t xml:space="preserve"> Društva za upravljanje.</w:t>
      </w:r>
    </w:p>
    <w:p w:rsidR="003A5632" w:rsidRPr="00036A76" w:rsidRDefault="003A5632" w:rsidP="003A5632">
      <w:pPr>
        <w:ind w:left="0" w:firstLine="0"/>
        <w:contextualSpacing/>
      </w:pPr>
      <w:r w:rsidRPr="00036A76">
        <w:t>Izvještaji akcionarima i nadležnim institucij</w:t>
      </w:r>
      <w:r w:rsidR="001E1B7C" w:rsidRPr="00036A76">
        <w:t>ama dostavljaće se u skladu sa Z</w:t>
      </w:r>
      <w:r w:rsidRPr="00036A76">
        <w:t xml:space="preserve">akonom i </w:t>
      </w:r>
      <w:r w:rsidR="00324931" w:rsidRPr="00036A76">
        <w:t>podzakonskim aktima.</w:t>
      </w:r>
    </w:p>
    <w:p w:rsidR="00264A7E" w:rsidRPr="00036A76" w:rsidRDefault="00056B0A" w:rsidP="00264A7E">
      <w:pPr>
        <w:pStyle w:val="ListParagraph"/>
        <w:ind w:left="0" w:firstLine="0"/>
        <w:rPr>
          <w:lang w:val="sl-SI"/>
        </w:rPr>
      </w:pPr>
      <w:r w:rsidRPr="00036A76">
        <w:rPr>
          <w:lang w:val="sl-SI"/>
        </w:rPr>
        <w:t>Neto vrijednost imovine F</w:t>
      </w:r>
      <w:r w:rsidR="00264A7E" w:rsidRPr="00036A76">
        <w:rPr>
          <w:lang w:val="sl-SI"/>
        </w:rPr>
        <w:t>onda se</w:t>
      </w:r>
      <w:r w:rsidR="00324931" w:rsidRPr="00036A76">
        <w:rPr>
          <w:lang w:val="sl-SI"/>
        </w:rPr>
        <w:t xml:space="preserve"> obračunava u skladu sa Zakonom i podzakosnkim aktima</w:t>
      </w:r>
      <w:r w:rsidR="00264A7E" w:rsidRPr="00036A76">
        <w:rPr>
          <w:lang w:val="sl-SI"/>
        </w:rPr>
        <w:t>.</w:t>
      </w:r>
    </w:p>
    <w:p w:rsidR="00264A7E" w:rsidRPr="00036A76" w:rsidRDefault="00056B0A" w:rsidP="009C31F1">
      <w:pPr>
        <w:pStyle w:val="ListParagraph"/>
        <w:ind w:left="0" w:firstLine="0"/>
        <w:rPr>
          <w:lang w:val="sl-SI"/>
        </w:rPr>
      </w:pPr>
      <w:r w:rsidRPr="00036A76">
        <w:rPr>
          <w:lang w:val="sl-SI"/>
        </w:rPr>
        <w:t>Neto vrijednost imovine F</w:t>
      </w:r>
      <w:r w:rsidR="00264A7E" w:rsidRPr="00036A76">
        <w:rPr>
          <w:lang w:val="sl-SI"/>
        </w:rPr>
        <w:t>onda će se obračunavati najmanje jedanput mjesečno, a obračun će se vršiti poslednjeg dana u mjesecu.</w:t>
      </w:r>
    </w:p>
    <w:p w:rsidR="003A5632" w:rsidRPr="00036A76" w:rsidRDefault="00264A7E" w:rsidP="003A5632">
      <w:pPr>
        <w:ind w:left="0" w:firstLine="0"/>
        <w:contextualSpacing/>
        <w:rPr>
          <w:iCs/>
          <w:lang w:val="hr-HR"/>
        </w:rPr>
      </w:pPr>
      <w:r w:rsidRPr="00036A76">
        <w:rPr>
          <w:bCs/>
        </w:rPr>
        <w:t>Izjavljujemo da će se investitori o izračunatoj neto vrijednosti imovine F</w:t>
      </w:r>
      <w:r w:rsidR="00617501" w:rsidRPr="00036A76">
        <w:rPr>
          <w:bCs/>
        </w:rPr>
        <w:t>onda obavještavati u skladu sa Z</w:t>
      </w:r>
      <w:r w:rsidRPr="00036A76">
        <w:rPr>
          <w:bCs/>
        </w:rPr>
        <w:t>akonom.</w:t>
      </w:r>
      <w:r w:rsidRPr="00036A76">
        <w:rPr>
          <w:b/>
          <w:bCs/>
        </w:rPr>
        <w:t xml:space="preserve"> </w:t>
      </w:r>
      <w:r w:rsidRPr="00036A76">
        <w:t>Najmanje jednom mjesečno Društvo</w:t>
      </w:r>
      <w:r w:rsidR="009C31F1" w:rsidRPr="00036A76">
        <w:t xml:space="preserve"> će</w:t>
      </w:r>
      <w:r w:rsidRPr="00036A76">
        <w:t xml:space="preserve"> u jednim dnevnim novinama koje su dostupne na cjelokupnom području Republike Sr</w:t>
      </w:r>
      <w:r w:rsidR="009C31F1" w:rsidRPr="00036A76">
        <w:t xml:space="preserve">pske i na </w:t>
      </w:r>
      <w:r w:rsidR="00617501" w:rsidRPr="00036A76">
        <w:t>svojoj internet stranici</w:t>
      </w:r>
      <w:r w:rsidRPr="00036A76">
        <w:t xml:space="preserve"> </w:t>
      </w:r>
      <w:r w:rsidR="009C31F1" w:rsidRPr="00036A76">
        <w:t xml:space="preserve">objavljivati </w:t>
      </w:r>
      <w:r w:rsidRPr="00036A76">
        <w:t>podatke o vrijednosti neto imovine</w:t>
      </w:r>
      <w:r w:rsidR="003A5632" w:rsidRPr="00036A76">
        <w:t xml:space="preserve"> Fonda</w:t>
      </w:r>
      <w:r w:rsidR="003A5632" w:rsidRPr="00036A76">
        <w:rPr>
          <w:b/>
          <w:i/>
          <w:iCs/>
          <w:lang w:val="hr-HR"/>
        </w:rPr>
        <w:t xml:space="preserve"> </w:t>
      </w:r>
      <w:r w:rsidR="003A5632" w:rsidRPr="00036A76">
        <w:rPr>
          <w:iCs/>
          <w:lang w:val="hr-HR"/>
        </w:rPr>
        <w:t>i neto imovine po akciji Fonda.</w:t>
      </w:r>
    </w:p>
    <w:p w:rsidR="0080239A" w:rsidRPr="00036A76" w:rsidRDefault="0080239A" w:rsidP="00BC5B30">
      <w:pPr>
        <w:ind w:left="0" w:firstLine="0"/>
        <w:rPr>
          <w:b/>
          <w:iCs/>
          <w:lang w:val="hr-HR"/>
        </w:rPr>
      </w:pPr>
    </w:p>
    <w:p w:rsidR="00F33AEB" w:rsidRPr="00036A76" w:rsidRDefault="00F33AEB" w:rsidP="00F553CF">
      <w:pPr>
        <w:pStyle w:val="ListParagraph"/>
        <w:numPr>
          <w:ilvl w:val="0"/>
          <w:numId w:val="10"/>
        </w:numPr>
        <w:rPr>
          <w:b/>
          <w:iCs/>
          <w:lang w:val="hr-HR"/>
        </w:rPr>
      </w:pPr>
      <w:r w:rsidRPr="00036A76">
        <w:rPr>
          <w:b/>
          <w:iCs/>
          <w:lang w:val="hr-HR"/>
        </w:rPr>
        <w:t>FINANSIJSKI PODACI U POSEBNIM SLUČAJEVIMA</w:t>
      </w:r>
    </w:p>
    <w:p w:rsidR="00F33AEB" w:rsidRPr="00036A76" w:rsidRDefault="00F33AEB" w:rsidP="00F33AEB">
      <w:pPr>
        <w:ind w:left="0" w:firstLine="0"/>
        <w:rPr>
          <w:iCs/>
          <w:lang w:val="hr-HR"/>
        </w:rPr>
      </w:pPr>
      <w:r w:rsidRPr="00036A76">
        <w:rPr>
          <w:iCs/>
          <w:lang w:val="hr-HR"/>
        </w:rPr>
        <w:t>Fond ne posjeduje probne finansijske informacije i podatke („pro forma“ finansijske informacije i poda</w:t>
      </w:r>
      <w:r w:rsidR="002025F9" w:rsidRPr="00036A76">
        <w:rPr>
          <w:iCs/>
          <w:lang w:val="hr-HR"/>
        </w:rPr>
        <w:t>tke</w:t>
      </w:r>
      <w:r w:rsidRPr="00036A76">
        <w:rPr>
          <w:iCs/>
          <w:lang w:val="hr-HR"/>
        </w:rPr>
        <w:t>).</w:t>
      </w:r>
    </w:p>
    <w:p w:rsidR="00F33AEB" w:rsidRPr="00036A76" w:rsidRDefault="00F33AEB" w:rsidP="00F33AEB">
      <w:pPr>
        <w:ind w:left="0" w:firstLine="0"/>
        <w:rPr>
          <w:b/>
          <w:iCs/>
          <w:lang w:val="hr-HR"/>
        </w:rPr>
      </w:pPr>
    </w:p>
    <w:p w:rsidR="007B1AC4" w:rsidRPr="00036A76" w:rsidRDefault="007B1AC4" w:rsidP="00F553CF">
      <w:pPr>
        <w:pStyle w:val="ListParagraph"/>
        <w:numPr>
          <w:ilvl w:val="0"/>
          <w:numId w:val="10"/>
        </w:numPr>
        <w:rPr>
          <w:b/>
          <w:lang w:val="sr-Latn-BA"/>
        </w:rPr>
      </w:pPr>
      <w:r w:rsidRPr="00036A76">
        <w:rPr>
          <w:b/>
          <w:lang w:val="sr-Latn-BA"/>
        </w:rPr>
        <w:t>INFORMACIJE O BERZI ILI BERZAMA NA KOJIMA ĆE AKCIJE FONDA BITI UVRŠTENE</w:t>
      </w:r>
    </w:p>
    <w:p w:rsidR="007B1AC4" w:rsidRPr="00036A76" w:rsidRDefault="00056B0A" w:rsidP="007B1AC4">
      <w:pPr>
        <w:ind w:left="0" w:firstLine="0"/>
        <w:contextualSpacing/>
        <w:rPr>
          <w:lang w:val="sr-Latn-BA"/>
        </w:rPr>
      </w:pPr>
      <w:r w:rsidRPr="00036A76">
        <w:rPr>
          <w:lang w:val="sr-Latn-BA"/>
        </w:rPr>
        <w:t>Trgovanje akcijama F</w:t>
      </w:r>
      <w:r w:rsidR="007B1AC4" w:rsidRPr="00036A76">
        <w:rPr>
          <w:lang w:val="sr-Latn-BA"/>
        </w:rPr>
        <w:t>onda</w:t>
      </w:r>
    </w:p>
    <w:p w:rsidR="007B1AC4" w:rsidRPr="00036A76" w:rsidRDefault="00E31489" w:rsidP="007B1AC4">
      <w:pPr>
        <w:ind w:left="0" w:firstLine="0"/>
        <w:contextualSpacing/>
        <w:rPr>
          <w:lang w:val="sr-Latn-BA"/>
        </w:rPr>
      </w:pPr>
      <w:r w:rsidRPr="00036A76">
        <w:rPr>
          <w:lang w:val="sr-Latn-BA"/>
        </w:rPr>
        <w:t>Akcije F</w:t>
      </w:r>
      <w:r w:rsidR="00056B0A" w:rsidRPr="00036A76">
        <w:rPr>
          <w:lang w:val="sr-Latn-BA"/>
        </w:rPr>
        <w:t>onda su uvrštene na B</w:t>
      </w:r>
      <w:r w:rsidR="007B1AC4" w:rsidRPr="00036A76">
        <w:rPr>
          <w:lang w:val="sr-Latn-BA"/>
        </w:rPr>
        <w:t>anjalučkoj berzi, u segmentu kotacija investicionih fondova.</w:t>
      </w:r>
    </w:p>
    <w:p w:rsidR="007B1AC4" w:rsidRPr="00036A76" w:rsidRDefault="00E31489" w:rsidP="007B1AC4">
      <w:pPr>
        <w:pStyle w:val="ListParagraph"/>
        <w:ind w:left="0" w:firstLine="0"/>
        <w:rPr>
          <w:lang w:val="sr-Latn-BA"/>
        </w:rPr>
      </w:pPr>
      <w:r w:rsidRPr="00036A76">
        <w:rPr>
          <w:lang w:val="sr-Latn-BA"/>
        </w:rPr>
        <w:lastRenderedPageBreak/>
        <w:t>Akcijama Fo</w:t>
      </w:r>
      <w:r w:rsidR="007B1AC4" w:rsidRPr="00036A76">
        <w:rPr>
          <w:lang w:val="sr-Latn-BA"/>
        </w:rPr>
        <w:t>nda se trguje bez ograničenja i u kontinuitetu, sa dozvoljenom fluktuacijom cijena u toku jednog dana trgovanja, od -20% do +20%, u odnosu na prosječnu cijenu trgovanja u toku prethodnog dana.</w:t>
      </w:r>
    </w:p>
    <w:p w:rsidR="007B1AC4" w:rsidRPr="00036A76" w:rsidRDefault="00056B0A" w:rsidP="007B1AC4">
      <w:pPr>
        <w:pStyle w:val="ListParagraph"/>
        <w:ind w:left="0" w:firstLine="0"/>
        <w:rPr>
          <w:lang w:val="sr-Latn-BA"/>
        </w:rPr>
      </w:pPr>
      <w:r w:rsidRPr="00036A76">
        <w:rPr>
          <w:lang w:val="sr-Latn-BA"/>
        </w:rPr>
        <w:t>Akcijama F</w:t>
      </w:r>
      <w:r w:rsidR="007B1AC4" w:rsidRPr="00036A76">
        <w:rPr>
          <w:lang w:val="sr-Latn-BA"/>
        </w:rPr>
        <w:t>onda se u toku 201</w:t>
      </w:r>
      <w:r w:rsidR="00CE4A62" w:rsidRPr="00036A76">
        <w:rPr>
          <w:lang w:val="sr-Latn-BA"/>
        </w:rPr>
        <w:t>6. godine trgovalo u kontinuitetu.</w:t>
      </w:r>
    </w:p>
    <w:p w:rsidR="00CE4A62" w:rsidRPr="00036A76" w:rsidRDefault="00CE4A62" w:rsidP="007B1AC4">
      <w:pPr>
        <w:pStyle w:val="ListParagraph"/>
        <w:ind w:left="0" w:firstLine="0"/>
        <w:rPr>
          <w:lang w:val="sr-Latn-BA"/>
        </w:rPr>
      </w:pPr>
      <w:r w:rsidRPr="00036A76">
        <w:rPr>
          <w:lang w:val="sr-Latn-BA"/>
        </w:rPr>
        <w:t>Cijena akcija Fonda se kretala od 0,038 KM do 0,046 KM.</w:t>
      </w:r>
    </w:p>
    <w:p w:rsidR="007B1AC4" w:rsidRPr="00036A76" w:rsidRDefault="007B1AC4" w:rsidP="007B1AC4">
      <w:pPr>
        <w:pStyle w:val="ListParagraph"/>
        <w:ind w:left="0" w:firstLine="0"/>
        <w:rPr>
          <w:lang w:val="sr-Latn-BA"/>
        </w:rPr>
      </w:pPr>
      <w:r w:rsidRPr="00036A76">
        <w:rPr>
          <w:lang w:val="sr-Latn-BA"/>
        </w:rPr>
        <w:t>Osnovn</w:t>
      </w:r>
      <w:r w:rsidR="00056B0A" w:rsidRPr="00036A76">
        <w:rPr>
          <w:lang w:val="sr-Latn-BA"/>
        </w:rPr>
        <w:t>i podaci o akcijama F</w:t>
      </w:r>
      <w:r w:rsidRPr="00036A76">
        <w:rPr>
          <w:lang w:val="sr-Latn-BA"/>
        </w:rPr>
        <w:t>onda su sljedeći:</w:t>
      </w:r>
    </w:p>
    <w:p w:rsidR="007B1AC4" w:rsidRPr="00036A76" w:rsidRDefault="007B1AC4" w:rsidP="007B1AC4">
      <w:pPr>
        <w:pStyle w:val="ListParagraph"/>
        <w:autoSpaceDE w:val="0"/>
        <w:autoSpaceDN w:val="0"/>
        <w:adjustRightInd w:val="0"/>
        <w:ind w:left="0" w:firstLine="0"/>
        <w:rPr>
          <w:iCs/>
          <w:color w:val="000000"/>
        </w:rPr>
      </w:pPr>
      <w:r w:rsidRPr="00036A76">
        <w:rPr>
          <w:iCs/>
          <w:color w:val="000000"/>
        </w:rPr>
        <w:t>Lokalna oznaka: INVP-R-A</w:t>
      </w:r>
    </w:p>
    <w:p w:rsidR="007B1AC4" w:rsidRPr="00036A76" w:rsidRDefault="007B1AC4" w:rsidP="007B1AC4">
      <w:pPr>
        <w:pStyle w:val="ListParagraph"/>
        <w:autoSpaceDE w:val="0"/>
        <w:autoSpaceDN w:val="0"/>
        <w:adjustRightInd w:val="0"/>
        <w:ind w:left="0" w:firstLine="0"/>
        <w:rPr>
          <w:iCs/>
          <w:color w:val="000000"/>
        </w:rPr>
      </w:pPr>
      <w:r w:rsidRPr="00036A76">
        <w:rPr>
          <w:iCs/>
          <w:color w:val="000000"/>
        </w:rPr>
        <w:t xml:space="preserve">ISIN: BA 100INVPRA1             </w:t>
      </w:r>
    </w:p>
    <w:p w:rsidR="007B1AC4" w:rsidRPr="00036A76" w:rsidRDefault="007B1AC4" w:rsidP="007B1AC4">
      <w:pPr>
        <w:pStyle w:val="ListParagraph"/>
        <w:autoSpaceDE w:val="0"/>
        <w:autoSpaceDN w:val="0"/>
        <w:adjustRightInd w:val="0"/>
        <w:ind w:left="0" w:firstLine="0"/>
        <w:rPr>
          <w:iCs/>
          <w:color w:val="000000"/>
        </w:rPr>
      </w:pPr>
      <w:r w:rsidRPr="00036A76">
        <w:rPr>
          <w:iCs/>
          <w:color w:val="000000"/>
        </w:rPr>
        <w:t>CFI: ESVUFR</w:t>
      </w:r>
    </w:p>
    <w:p w:rsidR="007B1AC4" w:rsidRPr="00036A76" w:rsidRDefault="007B1AC4" w:rsidP="007B1AC4">
      <w:pPr>
        <w:pStyle w:val="ListParagraph"/>
        <w:autoSpaceDE w:val="0"/>
        <w:autoSpaceDN w:val="0"/>
        <w:adjustRightInd w:val="0"/>
        <w:ind w:left="0" w:firstLine="0"/>
        <w:rPr>
          <w:iCs/>
          <w:color w:val="000000"/>
        </w:rPr>
      </w:pPr>
      <w:r w:rsidRPr="00036A76">
        <w:rPr>
          <w:iCs/>
          <w:color w:val="000000"/>
        </w:rPr>
        <w:t>RIC: INVP.BJ</w:t>
      </w:r>
    </w:p>
    <w:p w:rsidR="007B1AC4" w:rsidRPr="00036A76" w:rsidRDefault="00E31489" w:rsidP="007B1AC4">
      <w:pPr>
        <w:pStyle w:val="ListParagraph"/>
        <w:ind w:left="0" w:firstLine="0"/>
        <w:rPr>
          <w:lang w:val="sr-Latn-BA"/>
        </w:rPr>
      </w:pPr>
      <w:r w:rsidRPr="00036A76">
        <w:rPr>
          <w:lang w:val="sr-Latn-BA"/>
        </w:rPr>
        <w:t>promet i cijene akcija F</w:t>
      </w:r>
      <w:r w:rsidR="007B1AC4" w:rsidRPr="00036A76">
        <w:rPr>
          <w:lang w:val="sr-Latn-BA"/>
        </w:rPr>
        <w:t>onda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9"/>
        <w:gridCol w:w="1142"/>
        <w:gridCol w:w="1139"/>
        <w:gridCol w:w="1186"/>
        <w:gridCol w:w="1376"/>
        <w:gridCol w:w="1296"/>
        <w:gridCol w:w="1139"/>
        <w:gridCol w:w="1179"/>
      </w:tblGrid>
      <w:tr w:rsidR="007B1AC4" w:rsidRPr="00036A76" w:rsidTr="009E2B99">
        <w:tc>
          <w:tcPr>
            <w:tcW w:w="1152"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godina</w:t>
            </w:r>
          </w:p>
        </w:tc>
        <w:tc>
          <w:tcPr>
            <w:tcW w:w="1166"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Najniža cijena</w:t>
            </w:r>
          </w:p>
        </w:tc>
        <w:tc>
          <w:tcPr>
            <w:tcW w:w="1164"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Najviša cijena</w:t>
            </w:r>
          </w:p>
        </w:tc>
        <w:tc>
          <w:tcPr>
            <w:tcW w:w="1191"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Prosječna cijena</w:t>
            </w:r>
          </w:p>
        </w:tc>
        <w:tc>
          <w:tcPr>
            <w:tcW w:w="1376"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Prosječno ponderisana cijena</w:t>
            </w:r>
          </w:p>
        </w:tc>
        <w:tc>
          <w:tcPr>
            <w:tcW w:w="1182"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Promet akcijama - količina</w:t>
            </w:r>
          </w:p>
        </w:tc>
        <w:tc>
          <w:tcPr>
            <w:tcW w:w="1158"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 od emisije</w:t>
            </w:r>
          </w:p>
        </w:tc>
        <w:tc>
          <w:tcPr>
            <w:tcW w:w="1187"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Broj dana trgovanja</w:t>
            </w:r>
          </w:p>
        </w:tc>
      </w:tr>
      <w:tr w:rsidR="007B1AC4" w:rsidRPr="00036A76" w:rsidTr="009E2B99">
        <w:tc>
          <w:tcPr>
            <w:tcW w:w="1152" w:type="dxa"/>
          </w:tcPr>
          <w:p w:rsidR="007B1AC4" w:rsidRPr="00036A76" w:rsidRDefault="00AC6E33" w:rsidP="009E2B99">
            <w:pPr>
              <w:tabs>
                <w:tab w:val="center" w:pos="4320"/>
                <w:tab w:val="right" w:pos="8640"/>
              </w:tabs>
              <w:ind w:left="0" w:firstLine="0"/>
              <w:contextualSpacing/>
              <w:rPr>
                <w:color w:val="333333"/>
              </w:rPr>
            </w:pPr>
            <w:r w:rsidRPr="00036A76">
              <w:rPr>
                <w:color w:val="333333"/>
              </w:rPr>
              <w:t>2014</w:t>
            </w:r>
            <w:r w:rsidR="007B1AC4" w:rsidRPr="00036A76">
              <w:rPr>
                <w:color w:val="333333"/>
              </w:rPr>
              <w:t>.</w:t>
            </w:r>
          </w:p>
        </w:tc>
        <w:tc>
          <w:tcPr>
            <w:tcW w:w="1166" w:type="dxa"/>
          </w:tcPr>
          <w:p w:rsidR="007B1AC4" w:rsidRPr="00036A76" w:rsidRDefault="00AC6E33" w:rsidP="009E2B99">
            <w:pPr>
              <w:tabs>
                <w:tab w:val="center" w:pos="4320"/>
                <w:tab w:val="right" w:pos="8640"/>
              </w:tabs>
              <w:ind w:left="0" w:firstLine="0"/>
              <w:contextualSpacing/>
              <w:rPr>
                <w:color w:val="333333"/>
              </w:rPr>
            </w:pPr>
            <w:r w:rsidRPr="00036A76">
              <w:rPr>
                <w:color w:val="333333"/>
              </w:rPr>
              <w:t>0,039</w:t>
            </w:r>
          </w:p>
        </w:tc>
        <w:tc>
          <w:tcPr>
            <w:tcW w:w="1164" w:type="dxa"/>
          </w:tcPr>
          <w:p w:rsidR="007B1AC4" w:rsidRPr="00036A76" w:rsidRDefault="00AC6E33" w:rsidP="009E2B99">
            <w:pPr>
              <w:tabs>
                <w:tab w:val="center" w:pos="4320"/>
                <w:tab w:val="right" w:pos="8640"/>
              </w:tabs>
              <w:ind w:left="0" w:firstLine="0"/>
              <w:contextualSpacing/>
              <w:rPr>
                <w:color w:val="333333"/>
              </w:rPr>
            </w:pPr>
            <w:r w:rsidRPr="00036A76">
              <w:rPr>
                <w:color w:val="333333"/>
              </w:rPr>
              <w:t>0,049</w:t>
            </w:r>
          </w:p>
        </w:tc>
        <w:tc>
          <w:tcPr>
            <w:tcW w:w="1191" w:type="dxa"/>
          </w:tcPr>
          <w:p w:rsidR="007B1AC4" w:rsidRPr="00036A76" w:rsidRDefault="00AC6E33" w:rsidP="009E2B99">
            <w:pPr>
              <w:tabs>
                <w:tab w:val="center" w:pos="4320"/>
                <w:tab w:val="right" w:pos="8640"/>
              </w:tabs>
              <w:ind w:left="0" w:firstLine="0"/>
              <w:contextualSpacing/>
              <w:rPr>
                <w:color w:val="333333"/>
              </w:rPr>
            </w:pPr>
            <w:r w:rsidRPr="00036A76">
              <w:rPr>
                <w:color w:val="333333"/>
              </w:rPr>
              <w:t>0,0445</w:t>
            </w:r>
          </w:p>
        </w:tc>
        <w:tc>
          <w:tcPr>
            <w:tcW w:w="1376" w:type="dxa"/>
          </w:tcPr>
          <w:p w:rsidR="007B1AC4" w:rsidRPr="00036A76" w:rsidRDefault="00AC6E33" w:rsidP="009E2B99">
            <w:pPr>
              <w:tabs>
                <w:tab w:val="center" w:pos="4320"/>
                <w:tab w:val="right" w:pos="8640"/>
              </w:tabs>
              <w:ind w:left="0" w:firstLine="0"/>
              <w:contextualSpacing/>
              <w:rPr>
                <w:color w:val="333333"/>
              </w:rPr>
            </w:pPr>
            <w:r w:rsidRPr="00036A76">
              <w:rPr>
                <w:color w:val="333333"/>
              </w:rPr>
              <w:t>0,0439</w:t>
            </w:r>
          </w:p>
        </w:tc>
        <w:tc>
          <w:tcPr>
            <w:tcW w:w="1182" w:type="dxa"/>
          </w:tcPr>
          <w:p w:rsidR="007B1AC4" w:rsidRPr="00036A76" w:rsidRDefault="00AC6E33" w:rsidP="009E2B99">
            <w:pPr>
              <w:tabs>
                <w:tab w:val="center" w:pos="4320"/>
                <w:tab w:val="right" w:pos="8640"/>
              </w:tabs>
              <w:ind w:left="0" w:firstLine="0"/>
              <w:contextualSpacing/>
              <w:rPr>
                <w:color w:val="333333"/>
              </w:rPr>
            </w:pPr>
            <w:r w:rsidRPr="00036A76">
              <w:rPr>
                <w:color w:val="333333"/>
              </w:rPr>
              <w:t>28.835.551</w:t>
            </w:r>
          </w:p>
        </w:tc>
        <w:tc>
          <w:tcPr>
            <w:tcW w:w="1158" w:type="dxa"/>
          </w:tcPr>
          <w:p w:rsidR="007B1AC4" w:rsidRPr="00036A76" w:rsidRDefault="00AC6E33" w:rsidP="009E2B99">
            <w:pPr>
              <w:tabs>
                <w:tab w:val="center" w:pos="4320"/>
                <w:tab w:val="right" w:pos="8640"/>
              </w:tabs>
              <w:ind w:left="0" w:firstLine="0"/>
              <w:contextualSpacing/>
              <w:rPr>
                <w:color w:val="333333"/>
              </w:rPr>
            </w:pPr>
            <w:r w:rsidRPr="00036A76">
              <w:rPr>
                <w:color w:val="333333"/>
              </w:rPr>
              <w:t>15,4043</w:t>
            </w:r>
          </w:p>
        </w:tc>
        <w:tc>
          <w:tcPr>
            <w:tcW w:w="1187" w:type="dxa"/>
          </w:tcPr>
          <w:p w:rsidR="007B1AC4" w:rsidRPr="00036A76" w:rsidRDefault="00AC6E33" w:rsidP="009E2B99">
            <w:pPr>
              <w:tabs>
                <w:tab w:val="center" w:pos="4320"/>
                <w:tab w:val="right" w:pos="8640"/>
              </w:tabs>
              <w:ind w:left="0" w:firstLine="0"/>
              <w:contextualSpacing/>
              <w:rPr>
                <w:color w:val="333333"/>
              </w:rPr>
            </w:pPr>
            <w:r w:rsidRPr="00036A76">
              <w:rPr>
                <w:color w:val="333333"/>
              </w:rPr>
              <w:t>162</w:t>
            </w:r>
          </w:p>
        </w:tc>
      </w:tr>
      <w:tr w:rsidR="007B1AC4" w:rsidRPr="00036A76" w:rsidTr="009E2B99">
        <w:tc>
          <w:tcPr>
            <w:tcW w:w="1152" w:type="dxa"/>
          </w:tcPr>
          <w:p w:rsidR="007B1AC4" w:rsidRPr="00036A76" w:rsidRDefault="00B00C8A" w:rsidP="009E2B99">
            <w:pPr>
              <w:tabs>
                <w:tab w:val="center" w:pos="4320"/>
                <w:tab w:val="right" w:pos="8640"/>
              </w:tabs>
              <w:ind w:left="0" w:firstLine="0"/>
              <w:contextualSpacing/>
              <w:rPr>
                <w:color w:val="333333"/>
              </w:rPr>
            </w:pPr>
            <w:r w:rsidRPr="00036A76">
              <w:rPr>
                <w:color w:val="333333"/>
              </w:rPr>
              <w:t>2015</w:t>
            </w:r>
            <w:r w:rsidR="007B1AC4" w:rsidRPr="00036A76">
              <w:rPr>
                <w:color w:val="333333"/>
              </w:rPr>
              <w:t>.</w:t>
            </w:r>
          </w:p>
        </w:tc>
        <w:tc>
          <w:tcPr>
            <w:tcW w:w="1166"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0,039</w:t>
            </w:r>
          </w:p>
        </w:tc>
        <w:tc>
          <w:tcPr>
            <w:tcW w:w="1164"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0,04</w:t>
            </w:r>
            <w:r w:rsidR="00B00C8A" w:rsidRPr="00036A76">
              <w:rPr>
                <w:color w:val="333333"/>
              </w:rPr>
              <w:t>6</w:t>
            </w:r>
          </w:p>
        </w:tc>
        <w:tc>
          <w:tcPr>
            <w:tcW w:w="1191"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0,04</w:t>
            </w:r>
            <w:r w:rsidR="00B00C8A" w:rsidRPr="00036A76">
              <w:rPr>
                <w:color w:val="333333"/>
              </w:rPr>
              <w:t>14</w:t>
            </w:r>
          </w:p>
        </w:tc>
        <w:tc>
          <w:tcPr>
            <w:tcW w:w="1376"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0,04</w:t>
            </w:r>
            <w:r w:rsidR="00B00C8A" w:rsidRPr="00036A76">
              <w:rPr>
                <w:color w:val="333333"/>
              </w:rPr>
              <w:t>38</w:t>
            </w:r>
          </w:p>
        </w:tc>
        <w:tc>
          <w:tcPr>
            <w:tcW w:w="1182" w:type="dxa"/>
          </w:tcPr>
          <w:p w:rsidR="007B1AC4" w:rsidRPr="00036A76" w:rsidRDefault="00B00C8A" w:rsidP="009E2B99">
            <w:pPr>
              <w:tabs>
                <w:tab w:val="center" w:pos="4320"/>
                <w:tab w:val="right" w:pos="8640"/>
              </w:tabs>
              <w:ind w:left="0" w:firstLine="0"/>
              <w:contextualSpacing/>
              <w:rPr>
                <w:color w:val="333333"/>
              </w:rPr>
            </w:pPr>
            <w:r w:rsidRPr="00036A76">
              <w:rPr>
                <w:color w:val="333333"/>
              </w:rPr>
              <w:t>14.547.879</w:t>
            </w:r>
          </w:p>
        </w:tc>
        <w:tc>
          <w:tcPr>
            <w:tcW w:w="1158" w:type="dxa"/>
          </w:tcPr>
          <w:p w:rsidR="007B1AC4" w:rsidRPr="00036A76" w:rsidRDefault="00B00C8A" w:rsidP="009E2B99">
            <w:pPr>
              <w:tabs>
                <w:tab w:val="center" w:pos="4320"/>
                <w:tab w:val="right" w:pos="8640"/>
              </w:tabs>
              <w:ind w:left="0" w:firstLine="0"/>
              <w:contextualSpacing/>
              <w:rPr>
                <w:color w:val="333333"/>
              </w:rPr>
            </w:pPr>
            <w:r w:rsidRPr="00036A76">
              <w:rPr>
                <w:color w:val="333333"/>
              </w:rPr>
              <w:t>7,7716</w:t>
            </w:r>
          </w:p>
        </w:tc>
        <w:tc>
          <w:tcPr>
            <w:tcW w:w="1187"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1</w:t>
            </w:r>
            <w:r w:rsidR="00B00C8A" w:rsidRPr="00036A76">
              <w:rPr>
                <w:color w:val="333333"/>
              </w:rPr>
              <w:t>27</w:t>
            </w:r>
          </w:p>
        </w:tc>
      </w:tr>
      <w:tr w:rsidR="007B1AC4" w:rsidRPr="00036A76" w:rsidTr="009E2B99">
        <w:tc>
          <w:tcPr>
            <w:tcW w:w="1152" w:type="dxa"/>
          </w:tcPr>
          <w:p w:rsidR="007B1AC4" w:rsidRPr="00036A76" w:rsidRDefault="00D91C93" w:rsidP="009E2B99">
            <w:pPr>
              <w:tabs>
                <w:tab w:val="center" w:pos="4320"/>
                <w:tab w:val="right" w:pos="8640"/>
              </w:tabs>
              <w:ind w:left="0" w:firstLine="0"/>
              <w:contextualSpacing/>
              <w:rPr>
                <w:color w:val="333333"/>
              </w:rPr>
            </w:pPr>
            <w:r w:rsidRPr="00036A76">
              <w:rPr>
                <w:color w:val="333333"/>
              </w:rPr>
              <w:t>2016</w:t>
            </w:r>
            <w:r w:rsidR="007B1AC4" w:rsidRPr="00036A76">
              <w:rPr>
                <w:color w:val="333333"/>
              </w:rPr>
              <w:t>.</w:t>
            </w:r>
          </w:p>
        </w:tc>
        <w:tc>
          <w:tcPr>
            <w:tcW w:w="1166" w:type="dxa"/>
          </w:tcPr>
          <w:p w:rsidR="007B1AC4" w:rsidRPr="00036A76" w:rsidRDefault="00D102FA" w:rsidP="009E2B99">
            <w:pPr>
              <w:tabs>
                <w:tab w:val="center" w:pos="4320"/>
                <w:tab w:val="right" w:pos="8640"/>
              </w:tabs>
              <w:ind w:left="0" w:firstLine="0"/>
              <w:contextualSpacing/>
              <w:rPr>
                <w:color w:val="333333"/>
              </w:rPr>
            </w:pPr>
            <w:r w:rsidRPr="00036A76">
              <w:rPr>
                <w:color w:val="333333"/>
              </w:rPr>
              <w:t>0,038</w:t>
            </w:r>
          </w:p>
        </w:tc>
        <w:tc>
          <w:tcPr>
            <w:tcW w:w="1164"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0,046</w:t>
            </w:r>
          </w:p>
        </w:tc>
        <w:tc>
          <w:tcPr>
            <w:tcW w:w="1191"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0,04</w:t>
            </w:r>
            <w:r w:rsidR="00D102FA" w:rsidRPr="00036A76">
              <w:rPr>
                <w:color w:val="333333"/>
              </w:rPr>
              <w:t>08</w:t>
            </w:r>
          </w:p>
        </w:tc>
        <w:tc>
          <w:tcPr>
            <w:tcW w:w="1376"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0,04</w:t>
            </w:r>
            <w:r w:rsidR="00D102FA" w:rsidRPr="00036A76">
              <w:rPr>
                <w:color w:val="333333"/>
              </w:rPr>
              <w:t>26</w:t>
            </w:r>
          </w:p>
        </w:tc>
        <w:tc>
          <w:tcPr>
            <w:tcW w:w="1182" w:type="dxa"/>
          </w:tcPr>
          <w:p w:rsidR="007B1AC4" w:rsidRPr="00036A76" w:rsidRDefault="00D102FA" w:rsidP="009E2B99">
            <w:pPr>
              <w:tabs>
                <w:tab w:val="center" w:pos="4320"/>
                <w:tab w:val="right" w:pos="8640"/>
              </w:tabs>
              <w:ind w:left="0" w:firstLine="0"/>
              <w:contextualSpacing/>
              <w:rPr>
                <w:color w:val="333333"/>
              </w:rPr>
            </w:pPr>
            <w:r w:rsidRPr="00036A76">
              <w:rPr>
                <w:color w:val="333333"/>
              </w:rPr>
              <w:t>2.142.462</w:t>
            </w:r>
          </w:p>
        </w:tc>
        <w:tc>
          <w:tcPr>
            <w:tcW w:w="1158" w:type="dxa"/>
          </w:tcPr>
          <w:p w:rsidR="007B1AC4" w:rsidRPr="00036A76" w:rsidRDefault="00D102FA" w:rsidP="009E2B99">
            <w:pPr>
              <w:tabs>
                <w:tab w:val="center" w:pos="4320"/>
                <w:tab w:val="right" w:pos="8640"/>
              </w:tabs>
              <w:ind w:left="0" w:firstLine="0"/>
              <w:contextualSpacing/>
              <w:rPr>
                <w:color w:val="333333"/>
              </w:rPr>
            </w:pPr>
            <w:r w:rsidRPr="00036A76">
              <w:rPr>
                <w:color w:val="333333"/>
              </w:rPr>
              <w:t>1,1445</w:t>
            </w:r>
          </w:p>
        </w:tc>
        <w:tc>
          <w:tcPr>
            <w:tcW w:w="1187" w:type="dxa"/>
          </w:tcPr>
          <w:p w:rsidR="007B1AC4" w:rsidRPr="00036A76" w:rsidRDefault="007B1AC4" w:rsidP="009E2B99">
            <w:pPr>
              <w:tabs>
                <w:tab w:val="center" w:pos="4320"/>
                <w:tab w:val="right" w:pos="8640"/>
              </w:tabs>
              <w:ind w:left="0" w:firstLine="0"/>
              <w:contextualSpacing/>
              <w:rPr>
                <w:color w:val="333333"/>
              </w:rPr>
            </w:pPr>
            <w:r w:rsidRPr="00036A76">
              <w:rPr>
                <w:color w:val="333333"/>
              </w:rPr>
              <w:t>1</w:t>
            </w:r>
            <w:r w:rsidR="00D102FA" w:rsidRPr="00036A76">
              <w:rPr>
                <w:color w:val="333333"/>
              </w:rPr>
              <w:t>06</w:t>
            </w:r>
          </w:p>
        </w:tc>
      </w:tr>
    </w:tbl>
    <w:p w:rsidR="007B1AC4" w:rsidRPr="00036A76" w:rsidRDefault="007B1AC4" w:rsidP="007B1AC4">
      <w:pPr>
        <w:ind w:left="0" w:firstLine="0"/>
      </w:pPr>
    </w:p>
    <w:p w:rsidR="007B1AC4" w:rsidRPr="00036A76" w:rsidRDefault="007B1AC4" w:rsidP="00F553CF">
      <w:pPr>
        <w:pStyle w:val="ListParagraph"/>
        <w:numPr>
          <w:ilvl w:val="0"/>
          <w:numId w:val="10"/>
        </w:numPr>
        <w:jc w:val="left"/>
        <w:rPr>
          <w:b/>
          <w:bCs/>
          <w:sz w:val="26"/>
          <w:szCs w:val="26"/>
        </w:rPr>
      </w:pPr>
      <w:r w:rsidRPr="00036A76">
        <w:rPr>
          <w:b/>
          <w:bCs/>
          <w:sz w:val="26"/>
          <w:szCs w:val="26"/>
        </w:rPr>
        <w:t>PORESKI PROPISI KOJI SE PRIMJENJUJU NA FOND</w:t>
      </w:r>
    </w:p>
    <w:p w:rsidR="007B1AC4" w:rsidRPr="00036A76" w:rsidRDefault="007B1AC4" w:rsidP="007B1AC4">
      <w:pPr>
        <w:autoSpaceDE w:val="0"/>
        <w:autoSpaceDN w:val="0"/>
        <w:adjustRightInd w:val="0"/>
        <w:ind w:left="0" w:firstLine="0"/>
        <w:contextualSpacing/>
      </w:pPr>
      <w:r w:rsidRPr="00036A76">
        <w:t>Imovina Fonda teretit će se za sve poreske obaveze koje je Fond dužan pl</w:t>
      </w:r>
      <w:r w:rsidR="00CE4A62" w:rsidRPr="00036A76">
        <w:t>atiti na svoju imovinu</w:t>
      </w:r>
      <w:r w:rsidRPr="00036A76">
        <w:t>, kao i za troškove regulisanja poreskih obaveza.</w:t>
      </w:r>
    </w:p>
    <w:p w:rsidR="007B1AC4" w:rsidRPr="00036A76" w:rsidRDefault="007B1AC4" w:rsidP="007B1AC4">
      <w:pPr>
        <w:ind w:left="0" w:firstLine="0"/>
        <w:contextualSpacing/>
      </w:pPr>
      <w:r w:rsidRPr="00036A76">
        <w:t>Fond posluje u skladu sa Zakonom o porezu na dohodak RS, Zakonom o doprinosima RS, Zakonom o porezu na dobit RS, i ostalim podzakonskim propisima donijetim od strane Ministarstva finansija Republike Srpske, kojima se reguliše ova oblast.</w:t>
      </w:r>
    </w:p>
    <w:p w:rsidR="007B1AC4" w:rsidRPr="00036A76" w:rsidRDefault="007B1AC4" w:rsidP="00BC5B30">
      <w:pPr>
        <w:ind w:left="0" w:firstLine="0"/>
        <w:rPr>
          <w:b/>
          <w:iCs/>
          <w:lang w:val="hr-HR"/>
        </w:rPr>
      </w:pPr>
    </w:p>
    <w:p w:rsidR="00066DB7" w:rsidRPr="00036A76" w:rsidRDefault="0064675D" w:rsidP="00F553CF">
      <w:pPr>
        <w:pStyle w:val="ListParagraph"/>
        <w:numPr>
          <w:ilvl w:val="0"/>
          <w:numId w:val="10"/>
        </w:numPr>
        <w:rPr>
          <w:b/>
          <w:lang w:val="sr-Latn-BA"/>
        </w:rPr>
      </w:pPr>
      <w:r w:rsidRPr="00036A76">
        <w:rPr>
          <w:b/>
          <w:lang w:val="sr-Latn-BA"/>
        </w:rPr>
        <w:t>TRAJANJE POSLOVNE GODINE</w:t>
      </w:r>
    </w:p>
    <w:p w:rsidR="004217C0" w:rsidRPr="00036A76" w:rsidRDefault="004217C0" w:rsidP="004217C0">
      <w:pPr>
        <w:ind w:left="0" w:firstLine="0"/>
        <w:contextualSpacing/>
        <w:jc w:val="left"/>
        <w:rPr>
          <w:lang w:val="sl-SI"/>
        </w:rPr>
      </w:pPr>
      <w:r w:rsidRPr="00036A76">
        <w:rPr>
          <w:lang w:val="sl-SI"/>
        </w:rPr>
        <w:t>Poslovna godina se poklapa sa kalendarskom godinom i počinje prvog janaura, a završava se trideset prvog decembra.</w:t>
      </w:r>
    </w:p>
    <w:p w:rsidR="004A5023" w:rsidRPr="00036A76" w:rsidRDefault="004A5023" w:rsidP="00F6047D">
      <w:pPr>
        <w:pStyle w:val="BodyTextIndent"/>
        <w:ind w:left="0" w:right="48" w:firstLine="0"/>
        <w:rPr>
          <w:b/>
          <w:szCs w:val="24"/>
          <w:lang w:val="sl-SI"/>
        </w:rPr>
      </w:pPr>
    </w:p>
    <w:p w:rsidR="004217C0" w:rsidRPr="00036A76" w:rsidRDefault="004217C0" w:rsidP="00F553CF">
      <w:pPr>
        <w:pStyle w:val="BodyTextIndent"/>
        <w:numPr>
          <w:ilvl w:val="0"/>
          <w:numId w:val="10"/>
        </w:numPr>
        <w:ind w:right="48"/>
        <w:rPr>
          <w:b/>
          <w:szCs w:val="24"/>
          <w:lang w:val="sl-SI"/>
        </w:rPr>
      </w:pPr>
      <w:r w:rsidRPr="00036A76">
        <w:rPr>
          <w:b/>
          <w:szCs w:val="24"/>
          <w:lang w:val="sl-SI"/>
        </w:rPr>
        <w:t>DATUM IZDAVANJA PROSPEKTA</w:t>
      </w:r>
    </w:p>
    <w:p w:rsidR="004217C0" w:rsidRPr="00036A76" w:rsidRDefault="004217C0" w:rsidP="004217C0">
      <w:pPr>
        <w:ind w:left="0" w:firstLine="0"/>
        <w:contextualSpacing/>
        <w:jc w:val="left"/>
        <w:rPr>
          <w:lang w:val="sl-SI"/>
        </w:rPr>
      </w:pPr>
      <w:r w:rsidRPr="00036A76">
        <w:rPr>
          <w:lang w:val="sl-SI"/>
        </w:rPr>
        <w:t>Ovaj Prospekt se izdaje sljedećeg dana od dana dobijanja saglasnosti na isti od strane Komisije za hartije od vrijednosti Republike Srpske.</w:t>
      </w:r>
    </w:p>
    <w:p w:rsidR="004217C0" w:rsidRPr="00036A76" w:rsidRDefault="004217C0" w:rsidP="004217C0">
      <w:pPr>
        <w:pStyle w:val="BodyTextIndent"/>
        <w:ind w:left="0" w:right="48" w:firstLine="0"/>
        <w:rPr>
          <w:szCs w:val="24"/>
          <w:lang w:val="sr-Latn-BA"/>
        </w:rPr>
      </w:pPr>
      <w:r w:rsidRPr="00036A76">
        <w:rPr>
          <w:szCs w:val="24"/>
          <w:lang w:val="sl-SI"/>
        </w:rPr>
        <w:t xml:space="preserve">Prospekt Zatvorenog </w:t>
      </w:r>
      <w:r w:rsidR="00CE097B" w:rsidRPr="00036A76">
        <w:rPr>
          <w:szCs w:val="24"/>
          <w:lang w:val="sl-SI"/>
        </w:rPr>
        <w:t>mješovitog</w:t>
      </w:r>
      <w:r w:rsidR="002B77E6" w:rsidRPr="00036A76">
        <w:rPr>
          <w:szCs w:val="24"/>
          <w:lang w:val="sl-SI"/>
        </w:rPr>
        <w:t xml:space="preserve"> </w:t>
      </w:r>
      <w:r w:rsidRPr="00036A76">
        <w:rPr>
          <w:szCs w:val="24"/>
          <w:lang w:val="sl-SI"/>
        </w:rPr>
        <w:t>investicionog fonda sa javnom ponudom</w:t>
      </w:r>
      <w:r w:rsidR="002B77E6" w:rsidRPr="00036A76">
        <w:rPr>
          <w:szCs w:val="24"/>
          <w:lang w:val="sl-SI"/>
        </w:rPr>
        <w:t xml:space="preserve"> u preoblikovanju</w:t>
      </w:r>
      <w:r w:rsidRPr="00036A76">
        <w:rPr>
          <w:szCs w:val="24"/>
          <w:lang w:val="sl-SI"/>
        </w:rPr>
        <w:t xml:space="preserve"> „Invest nova fond“ a.d. Bijeljina usvojen je</w:t>
      </w:r>
      <w:r w:rsidR="009F3DD3" w:rsidRPr="00036A76">
        <w:rPr>
          <w:szCs w:val="24"/>
          <w:lang w:val="sl-SI"/>
        </w:rPr>
        <w:t xml:space="preserve"> na XII</w:t>
      </w:r>
      <w:r w:rsidR="002B77E6" w:rsidRPr="00036A76">
        <w:rPr>
          <w:szCs w:val="24"/>
          <w:lang w:val="sl-SI"/>
        </w:rPr>
        <w:t xml:space="preserve"> sjednici Upravnog odbora Društva, dana</w:t>
      </w:r>
      <w:r w:rsidRPr="00036A76">
        <w:rPr>
          <w:szCs w:val="24"/>
          <w:lang w:val="sl-SI"/>
        </w:rPr>
        <w:t xml:space="preserve"> </w:t>
      </w:r>
      <w:r w:rsidR="009200F3" w:rsidRPr="00036A76">
        <w:rPr>
          <w:szCs w:val="24"/>
          <w:lang w:val="sl-SI"/>
        </w:rPr>
        <w:t>10</w:t>
      </w:r>
      <w:r w:rsidR="00D23439" w:rsidRPr="00036A76">
        <w:rPr>
          <w:szCs w:val="24"/>
          <w:lang w:val="sl-SI"/>
        </w:rPr>
        <w:t>.08.2017.</w:t>
      </w:r>
      <w:r w:rsidRPr="00036A76">
        <w:rPr>
          <w:szCs w:val="24"/>
          <w:lang w:val="sl-SI"/>
        </w:rPr>
        <w:t xml:space="preserve"> godine, </w:t>
      </w:r>
      <w:r w:rsidR="002B77E6" w:rsidRPr="00036A76">
        <w:rPr>
          <w:szCs w:val="24"/>
          <w:lang w:val="sl-SI"/>
        </w:rPr>
        <w:t>a</w:t>
      </w:r>
      <w:r w:rsidRPr="00036A76">
        <w:rPr>
          <w:szCs w:val="24"/>
          <w:lang w:val="sl-SI"/>
        </w:rPr>
        <w:t xml:space="preserve"> </w:t>
      </w:r>
      <w:r w:rsidR="002B77E6" w:rsidRPr="00036A76">
        <w:rPr>
          <w:szCs w:val="24"/>
          <w:lang w:val="sl-SI"/>
        </w:rPr>
        <w:t>n</w:t>
      </w:r>
      <w:r w:rsidRPr="00036A76">
        <w:rPr>
          <w:szCs w:val="24"/>
          <w:lang w:val="sl-SI"/>
        </w:rPr>
        <w:t xml:space="preserve">a osnovu </w:t>
      </w:r>
      <w:r w:rsidR="00F6047D" w:rsidRPr="00036A76">
        <w:rPr>
          <w:szCs w:val="24"/>
          <w:lang w:val="sl-SI"/>
        </w:rPr>
        <w:t xml:space="preserve">Zakona o investicionim fondovima („Službeni glasnik Republike Srpske“ broj: 92/06 i 82/15), </w:t>
      </w:r>
      <w:r w:rsidRPr="00036A76">
        <w:rPr>
          <w:szCs w:val="24"/>
          <w:lang w:val="sl-SI"/>
        </w:rPr>
        <w:t>Pravilnika o uslovima i postupku emisije hartija od vrijednosti i Priloga VII Pravilnika („Službeni glasnik Republike Srpske“ broj: 60/12</w:t>
      </w:r>
      <w:r w:rsidR="002E2B80" w:rsidRPr="00036A76">
        <w:rPr>
          <w:szCs w:val="24"/>
          <w:lang w:val="sl-SI"/>
        </w:rPr>
        <w:t xml:space="preserve"> i 88/13</w:t>
      </w:r>
      <w:r w:rsidR="002B77E6" w:rsidRPr="00036A76">
        <w:rPr>
          <w:szCs w:val="24"/>
          <w:lang w:val="sl-SI"/>
        </w:rPr>
        <w:t>),</w:t>
      </w:r>
      <w:r w:rsidR="00996978" w:rsidRPr="00036A76">
        <w:rPr>
          <w:szCs w:val="24"/>
          <w:lang w:val="sl-SI"/>
        </w:rPr>
        <w:t xml:space="preserve"> Pravilnika o preoblikovanju zatvorenog investicionog fonda („Službeni glasnik Republike Srpske“, broj 108/15), </w:t>
      </w:r>
      <w:r w:rsidRPr="00036A76">
        <w:rPr>
          <w:szCs w:val="24"/>
          <w:lang w:val="sl-SI"/>
        </w:rPr>
        <w:t>Obavještenja Komisije za hartije od vrijednosti Republike Srpske, broj: 01</w:t>
      </w:r>
      <w:r w:rsidRPr="00036A76">
        <w:rPr>
          <w:rFonts w:ascii="Cambria Math" w:hAnsi="Cambria Math"/>
          <w:szCs w:val="24"/>
          <w:lang w:val="sl-SI"/>
        </w:rPr>
        <w:t>‐</w:t>
      </w:r>
      <w:r w:rsidRPr="00036A76">
        <w:rPr>
          <w:szCs w:val="24"/>
          <w:lang w:val="sl-SI"/>
        </w:rPr>
        <w:t>34</w:t>
      </w:r>
      <w:r w:rsidRPr="00036A76">
        <w:rPr>
          <w:rFonts w:ascii="Cambria Math" w:hAnsi="Cambria Math"/>
          <w:szCs w:val="24"/>
          <w:lang w:val="sl-SI"/>
        </w:rPr>
        <w:t>‐</w:t>
      </w:r>
      <w:r w:rsidR="001B0CF2" w:rsidRPr="00036A76">
        <w:rPr>
          <w:szCs w:val="24"/>
          <w:lang w:val="sl-SI"/>
        </w:rPr>
        <w:t>218/16 od 17.03.2016. godine,</w:t>
      </w:r>
      <w:r w:rsidR="00996978" w:rsidRPr="00036A76">
        <w:rPr>
          <w:szCs w:val="24"/>
          <w:lang w:val="sl-SI"/>
        </w:rPr>
        <w:t xml:space="preserve"> </w:t>
      </w:r>
      <w:r w:rsidR="00996978" w:rsidRPr="00036A76">
        <w:rPr>
          <w:lang w:val="en-GB"/>
        </w:rPr>
        <w:t>Zaključka Komisije za hartije od vrijednosti Republike Srpske, broj: 05-UP-58</w:t>
      </w:r>
      <w:r w:rsidR="003D0C02" w:rsidRPr="00036A76">
        <w:t>-322-</w:t>
      </w:r>
      <w:r w:rsidR="003D0C02" w:rsidRPr="00036A76">
        <w:rPr>
          <w:lang w:val="sr-Latn-BA"/>
        </w:rPr>
        <w:t>2</w:t>
      </w:r>
      <w:r w:rsidR="003D0C02" w:rsidRPr="00036A76">
        <w:t xml:space="preserve">/16 od </w:t>
      </w:r>
      <w:r w:rsidR="003D0C02" w:rsidRPr="00036A76">
        <w:rPr>
          <w:lang w:val="sr-Latn-BA"/>
        </w:rPr>
        <w:t>21</w:t>
      </w:r>
      <w:r w:rsidR="00996978" w:rsidRPr="00036A76">
        <w:t>.0</w:t>
      </w:r>
      <w:r w:rsidR="003D0C02" w:rsidRPr="00036A76">
        <w:rPr>
          <w:lang w:val="sr-Latn-BA"/>
        </w:rPr>
        <w:t>7</w:t>
      </w:r>
      <w:r w:rsidR="001B0CF2" w:rsidRPr="00036A76">
        <w:t>.2016. godine</w:t>
      </w:r>
      <w:r w:rsidR="001B0CF2" w:rsidRPr="00036A76">
        <w:rPr>
          <w:lang w:val="sr-Latn-BA"/>
        </w:rPr>
        <w:t xml:space="preserve"> i Zaključka Komisije za hartije od vrijednosti Republike Srpske broj: 05-UP-53-354-1/17, od 12.07.2017. godine.</w:t>
      </w:r>
    </w:p>
    <w:p w:rsidR="004217C0" w:rsidRPr="00036A76" w:rsidRDefault="004217C0" w:rsidP="004217C0">
      <w:pPr>
        <w:pStyle w:val="ListParagraph"/>
        <w:ind w:left="0" w:firstLine="0"/>
        <w:rPr>
          <w:lang w:val="sr-Latn-BA"/>
        </w:rPr>
      </w:pPr>
    </w:p>
    <w:p w:rsidR="00BE4B29" w:rsidRPr="00036A76" w:rsidRDefault="00BE4B29" w:rsidP="00DB2E4D">
      <w:pPr>
        <w:ind w:left="0" w:firstLine="0"/>
        <w:rPr>
          <w:lang w:val="sr-Latn-BA"/>
        </w:rPr>
      </w:pPr>
    </w:p>
    <w:p w:rsidR="00BE4B29" w:rsidRPr="00036A76" w:rsidRDefault="00606D92" w:rsidP="00BE4B29">
      <w:pPr>
        <w:pStyle w:val="BodyTextIndent"/>
        <w:ind w:left="0" w:right="48" w:firstLine="0"/>
        <w:rPr>
          <w:szCs w:val="24"/>
          <w:lang w:val="hr-HR"/>
        </w:rPr>
      </w:pPr>
      <w:r w:rsidRPr="00036A76">
        <w:rPr>
          <w:szCs w:val="24"/>
          <w:lang w:val="sl-SI"/>
        </w:rPr>
        <w:t>Broj: UO-XII-04/2017</w:t>
      </w:r>
    </w:p>
    <w:p w:rsidR="00BE4B29" w:rsidRPr="008148FC" w:rsidRDefault="00BE4B29" w:rsidP="00243DF9">
      <w:pPr>
        <w:pStyle w:val="BodyTextIndent"/>
        <w:ind w:left="0" w:right="48" w:firstLine="0"/>
        <w:rPr>
          <w:szCs w:val="24"/>
          <w:lang w:val="sl-SI"/>
        </w:rPr>
      </w:pPr>
      <w:r w:rsidRPr="00036A76">
        <w:rPr>
          <w:szCs w:val="24"/>
          <w:lang w:val="sl-SI"/>
        </w:rPr>
        <w:t>Bijeljina</w:t>
      </w:r>
      <w:r w:rsidRPr="00036A76">
        <w:rPr>
          <w:szCs w:val="24"/>
        </w:rPr>
        <w:t>,</w:t>
      </w:r>
      <w:r w:rsidRPr="00036A76">
        <w:rPr>
          <w:szCs w:val="24"/>
          <w:lang w:val="sl-SI"/>
        </w:rPr>
        <w:t xml:space="preserve"> </w:t>
      </w:r>
      <w:r w:rsidR="00606D92" w:rsidRPr="00036A76">
        <w:rPr>
          <w:szCs w:val="24"/>
          <w:lang w:val="sl-SI"/>
        </w:rPr>
        <w:t xml:space="preserve">10.08.2017. </w:t>
      </w:r>
      <w:r w:rsidRPr="00036A76">
        <w:rPr>
          <w:szCs w:val="24"/>
          <w:lang w:val="sl-SI"/>
        </w:rPr>
        <w:t>godine</w:t>
      </w:r>
    </w:p>
    <w:sectPr w:rsidR="00BE4B29" w:rsidRPr="008148FC" w:rsidSect="00266A3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76D" w:rsidRDefault="00CE576D" w:rsidP="00266A33">
      <w:r>
        <w:separator/>
      </w:r>
    </w:p>
  </w:endnote>
  <w:endnote w:type="continuationSeparator" w:id="1">
    <w:p w:rsidR="00CE576D" w:rsidRDefault="00CE576D" w:rsidP="00266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9454"/>
      <w:docPartObj>
        <w:docPartGallery w:val="Page Numbers (Bottom of Page)"/>
        <w:docPartUnique/>
      </w:docPartObj>
    </w:sdtPr>
    <w:sdtContent>
      <w:p w:rsidR="009F3DD3" w:rsidRDefault="00645C28">
        <w:pPr>
          <w:pStyle w:val="Footer"/>
          <w:jc w:val="right"/>
        </w:pPr>
        <w:fldSimple w:instr=" PAGE   \* MERGEFORMAT ">
          <w:r w:rsidR="00DB2E4D">
            <w:rPr>
              <w:noProof/>
            </w:rPr>
            <w:t>40</w:t>
          </w:r>
        </w:fldSimple>
      </w:p>
    </w:sdtContent>
  </w:sdt>
  <w:p w:rsidR="009F3DD3" w:rsidRDefault="009F3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76D" w:rsidRDefault="00CE576D" w:rsidP="00266A33">
      <w:r>
        <w:separator/>
      </w:r>
    </w:p>
  </w:footnote>
  <w:footnote w:type="continuationSeparator" w:id="1">
    <w:p w:rsidR="00CE576D" w:rsidRDefault="00CE576D" w:rsidP="0026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852"/>
    <w:multiLevelType w:val="hybridMultilevel"/>
    <w:tmpl w:val="00B69A90"/>
    <w:lvl w:ilvl="0" w:tplc="39107E6A">
      <w:numFmt w:val="bullet"/>
      <w:lvlText w:val="-"/>
      <w:lvlJc w:val="left"/>
      <w:pPr>
        <w:tabs>
          <w:tab w:val="num" w:pos="1440"/>
        </w:tabs>
        <w:ind w:left="1440" w:hanging="360"/>
      </w:pPr>
      <w:rPr>
        <w:rFonts w:ascii="Times New Roman" w:hAnsi="Times New Roman" w:cs="Times New Roman"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23507A"/>
    <w:multiLevelType w:val="hybridMultilevel"/>
    <w:tmpl w:val="E0CEFF8E"/>
    <w:lvl w:ilvl="0" w:tplc="3716D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D00CE"/>
    <w:multiLevelType w:val="hybridMultilevel"/>
    <w:tmpl w:val="10F2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16391"/>
    <w:multiLevelType w:val="hybridMultilevel"/>
    <w:tmpl w:val="0F8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1CD2"/>
    <w:multiLevelType w:val="hybridMultilevel"/>
    <w:tmpl w:val="44F0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27272"/>
    <w:multiLevelType w:val="hybridMultilevel"/>
    <w:tmpl w:val="A78C2DC0"/>
    <w:lvl w:ilvl="0" w:tplc="A6E055B0">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028AB"/>
    <w:multiLevelType w:val="hybridMultilevel"/>
    <w:tmpl w:val="0E985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A405B"/>
    <w:multiLevelType w:val="hybridMultilevel"/>
    <w:tmpl w:val="1E5AD084"/>
    <w:lvl w:ilvl="0" w:tplc="D854CC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70E98"/>
    <w:multiLevelType w:val="hybridMultilevel"/>
    <w:tmpl w:val="38D00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1071A"/>
    <w:multiLevelType w:val="hybridMultilevel"/>
    <w:tmpl w:val="BA98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60158"/>
    <w:multiLevelType w:val="hybridMultilevel"/>
    <w:tmpl w:val="30E0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23D7D"/>
    <w:multiLevelType w:val="hybridMultilevel"/>
    <w:tmpl w:val="F8FE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A6BE6"/>
    <w:multiLevelType w:val="hybridMultilevel"/>
    <w:tmpl w:val="9B9E8DFC"/>
    <w:lvl w:ilvl="0" w:tplc="6C486EFA">
      <w:start w:val="1"/>
      <w:numFmt w:val="decimal"/>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96F4E"/>
    <w:multiLevelType w:val="hybridMultilevel"/>
    <w:tmpl w:val="2AAC8C48"/>
    <w:lvl w:ilvl="0" w:tplc="AB600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314E4"/>
    <w:multiLevelType w:val="hybridMultilevel"/>
    <w:tmpl w:val="BD4A7B1E"/>
    <w:lvl w:ilvl="0" w:tplc="573E505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B71DDA"/>
    <w:multiLevelType w:val="multilevel"/>
    <w:tmpl w:val="766C97A6"/>
    <w:lvl w:ilvl="0">
      <w:start w:val="1"/>
      <w:numFmt w:val="decimal"/>
      <w:lvlText w:val="%1."/>
      <w:lvlJc w:val="left"/>
      <w:pPr>
        <w:ind w:left="720" w:hanging="360"/>
      </w:pPr>
      <w:rPr>
        <w:rFonts w:hint="default"/>
      </w:rPr>
    </w:lvl>
    <w:lvl w:ilvl="1">
      <w:start w:val="1"/>
      <w:numFmt w:val="decimal"/>
      <w:isLgl/>
      <w:lvlText w:val="%1.%2."/>
      <w:lvlJc w:val="left"/>
      <w:pPr>
        <w:ind w:left="27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4457AA"/>
    <w:multiLevelType w:val="hybridMultilevel"/>
    <w:tmpl w:val="51B4F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32C5C"/>
    <w:multiLevelType w:val="multilevel"/>
    <w:tmpl w:val="4C1C6408"/>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26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A2407A4"/>
    <w:multiLevelType w:val="hybridMultilevel"/>
    <w:tmpl w:val="7D62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E4836"/>
    <w:multiLevelType w:val="hybridMultilevel"/>
    <w:tmpl w:val="97A647F4"/>
    <w:lvl w:ilvl="0" w:tplc="74B81B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2"/>
  </w:num>
  <w:num w:numId="5">
    <w:abstractNumId w:val="6"/>
  </w:num>
  <w:num w:numId="6">
    <w:abstractNumId w:val="1"/>
  </w:num>
  <w:num w:numId="7">
    <w:abstractNumId w:val="0"/>
  </w:num>
  <w:num w:numId="8">
    <w:abstractNumId w:val="15"/>
  </w:num>
  <w:num w:numId="9">
    <w:abstractNumId w:val="5"/>
  </w:num>
  <w:num w:numId="10">
    <w:abstractNumId w:val="17"/>
  </w:num>
  <w:num w:numId="11">
    <w:abstractNumId w:val="12"/>
  </w:num>
  <w:num w:numId="12">
    <w:abstractNumId w:val="13"/>
  </w:num>
  <w:num w:numId="13">
    <w:abstractNumId w:val="4"/>
  </w:num>
  <w:num w:numId="14">
    <w:abstractNumId w:val="10"/>
  </w:num>
  <w:num w:numId="15">
    <w:abstractNumId w:val="14"/>
  </w:num>
  <w:num w:numId="16">
    <w:abstractNumId w:val="8"/>
  </w:num>
  <w:num w:numId="17">
    <w:abstractNumId w:val="3"/>
  </w:num>
  <w:num w:numId="18">
    <w:abstractNumId w:val="18"/>
  </w:num>
  <w:num w:numId="19">
    <w:abstractNumId w:val="11"/>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2E40"/>
    <w:rsid w:val="00015C7E"/>
    <w:rsid w:val="00016C8C"/>
    <w:rsid w:val="0001797E"/>
    <w:rsid w:val="00020BD6"/>
    <w:rsid w:val="00022F60"/>
    <w:rsid w:val="00031154"/>
    <w:rsid w:val="000342D6"/>
    <w:rsid w:val="00036A76"/>
    <w:rsid w:val="00037BB0"/>
    <w:rsid w:val="00041F49"/>
    <w:rsid w:val="00044856"/>
    <w:rsid w:val="000510A0"/>
    <w:rsid w:val="00052476"/>
    <w:rsid w:val="000554F0"/>
    <w:rsid w:val="00056B0A"/>
    <w:rsid w:val="00066A64"/>
    <w:rsid w:val="00066DB7"/>
    <w:rsid w:val="000843A4"/>
    <w:rsid w:val="00086988"/>
    <w:rsid w:val="00087D42"/>
    <w:rsid w:val="000A299C"/>
    <w:rsid w:val="000B5695"/>
    <w:rsid w:val="000B687A"/>
    <w:rsid w:val="000C07E4"/>
    <w:rsid w:val="000C366F"/>
    <w:rsid w:val="000C50A8"/>
    <w:rsid w:val="000C7169"/>
    <w:rsid w:val="000D21FA"/>
    <w:rsid w:val="000D33BD"/>
    <w:rsid w:val="000D3F7B"/>
    <w:rsid w:val="000D7153"/>
    <w:rsid w:val="000E14CD"/>
    <w:rsid w:val="000E1A2E"/>
    <w:rsid w:val="000E73E8"/>
    <w:rsid w:val="000F6FCA"/>
    <w:rsid w:val="000F7ECC"/>
    <w:rsid w:val="0010033B"/>
    <w:rsid w:val="00104D15"/>
    <w:rsid w:val="00110B0F"/>
    <w:rsid w:val="001114BF"/>
    <w:rsid w:val="00122F36"/>
    <w:rsid w:val="00124632"/>
    <w:rsid w:val="00125BCC"/>
    <w:rsid w:val="0012780F"/>
    <w:rsid w:val="00131032"/>
    <w:rsid w:val="001322AE"/>
    <w:rsid w:val="00132A0B"/>
    <w:rsid w:val="00133D7B"/>
    <w:rsid w:val="00135581"/>
    <w:rsid w:val="0013786B"/>
    <w:rsid w:val="00150BCE"/>
    <w:rsid w:val="001519A9"/>
    <w:rsid w:val="00151FE2"/>
    <w:rsid w:val="0015421E"/>
    <w:rsid w:val="001651D2"/>
    <w:rsid w:val="00166424"/>
    <w:rsid w:val="001669EB"/>
    <w:rsid w:val="0018266D"/>
    <w:rsid w:val="00183BD7"/>
    <w:rsid w:val="001842A5"/>
    <w:rsid w:val="00184C90"/>
    <w:rsid w:val="00192458"/>
    <w:rsid w:val="0019298D"/>
    <w:rsid w:val="0019315B"/>
    <w:rsid w:val="001942AF"/>
    <w:rsid w:val="00194AB6"/>
    <w:rsid w:val="001A14DC"/>
    <w:rsid w:val="001A26D2"/>
    <w:rsid w:val="001A65DD"/>
    <w:rsid w:val="001B02FF"/>
    <w:rsid w:val="001B099E"/>
    <w:rsid w:val="001B0CF2"/>
    <w:rsid w:val="001B5C28"/>
    <w:rsid w:val="001C152D"/>
    <w:rsid w:val="001C3829"/>
    <w:rsid w:val="001C4120"/>
    <w:rsid w:val="001C43DC"/>
    <w:rsid w:val="001D164A"/>
    <w:rsid w:val="001D7A26"/>
    <w:rsid w:val="001E1B7C"/>
    <w:rsid w:val="001E1EB7"/>
    <w:rsid w:val="001E3129"/>
    <w:rsid w:val="001E3907"/>
    <w:rsid w:val="001E6349"/>
    <w:rsid w:val="001E7D17"/>
    <w:rsid w:val="001F39A2"/>
    <w:rsid w:val="002025F9"/>
    <w:rsid w:val="00205132"/>
    <w:rsid w:val="00205769"/>
    <w:rsid w:val="0021065D"/>
    <w:rsid w:val="00212407"/>
    <w:rsid w:val="00216FC5"/>
    <w:rsid w:val="00217FAD"/>
    <w:rsid w:val="00220EDC"/>
    <w:rsid w:val="00220F6C"/>
    <w:rsid w:val="00243DF9"/>
    <w:rsid w:val="002450EE"/>
    <w:rsid w:val="00253417"/>
    <w:rsid w:val="0025489E"/>
    <w:rsid w:val="002560E8"/>
    <w:rsid w:val="00256259"/>
    <w:rsid w:val="00256F59"/>
    <w:rsid w:val="00260F0D"/>
    <w:rsid w:val="00262348"/>
    <w:rsid w:val="00264A14"/>
    <w:rsid w:val="00264A7E"/>
    <w:rsid w:val="00266A33"/>
    <w:rsid w:val="00267047"/>
    <w:rsid w:val="00271007"/>
    <w:rsid w:val="0027381A"/>
    <w:rsid w:val="00284A30"/>
    <w:rsid w:val="00287ACD"/>
    <w:rsid w:val="00292F73"/>
    <w:rsid w:val="002949E7"/>
    <w:rsid w:val="002958D8"/>
    <w:rsid w:val="00296497"/>
    <w:rsid w:val="00297185"/>
    <w:rsid w:val="002A0EA9"/>
    <w:rsid w:val="002A635A"/>
    <w:rsid w:val="002B1B02"/>
    <w:rsid w:val="002B77E6"/>
    <w:rsid w:val="002C2FA7"/>
    <w:rsid w:val="002D0C24"/>
    <w:rsid w:val="002D203C"/>
    <w:rsid w:val="002D4CC5"/>
    <w:rsid w:val="002D78C3"/>
    <w:rsid w:val="002E1842"/>
    <w:rsid w:val="002E2B80"/>
    <w:rsid w:val="002E324A"/>
    <w:rsid w:val="002E3730"/>
    <w:rsid w:val="002F1A15"/>
    <w:rsid w:val="002F528D"/>
    <w:rsid w:val="002F65E7"/>
    <w:rsid w:val="003039FC"/>
    <w:rsid w:val="00304445"/>
    <w:rsid w:val="00304F3A"/>
    <w:rsid w:val="00322B4A"/>
    <w:rsid w:val="00323067"/>
    <w:rsid w:val="0032489E"/>
    <w:rsid w:val="00324931"/>
    <w:rsid w:val="00326C15"/>
    <w:rsid w:val="00331681"/>
    <w:rsid w:val="00331DFB"/>
    <w:rsid w:val="0033509B"/>
    <w:rsid w:val="00344433"/>
    <w:rsid w:val="00346E0B"/>
    <w:rsid w:val="0035167D"/>
    <w:rsid w:val="00355316"/>
    <w:rsid w:val="00355C93"/>
    <w:rsid w:val="00356181"/>
    <w:rsid w:val="00361A15"/>
    <w:rsid w:val="00362BC2"/>
    <w:rsid w:val="00371127"/>
    <w:rsid w:val="00377DAB"/>
    <w:rsid w:val="003823DC"/>
    <w:rsid w:val="003843BC"/>
    <w:rsid w:val="00384573"/>
    <w:rsid w:val="00385AB3"/>
    <w:rsid w:val="00386D89"/>
    <w:rsid w:val="00394316"/>
    <w:rsid w:val="003947D7"/>
    <w:rsid w:val="00395D0A"/>
    <w:rsid w:val="003967F1"/>
    <w:rsid w:val="00397252"/>
    <w:rsid w:val="003A00B1"/>
    <w:rsid w:val="003A0A10"/>
    <w:rsid w:val="003A11E3"/>
    <w:rsid w:val="003A422C"/>
    <w:rsid w:val="003A5632"/>
    <w:rsid w:val="003A5FE6"/>
    <w:rsid w:val="003A7066"/>
    <w:rsid w:val="003A7F30"/>
    <w:rsid w:val="003B15E5"/>
    <w:rsid w:val="003B3E99"/>
    <w:rsid w:val="003C0453"/>
    <w:rsid w:val="003C1661"/>
    <w:rsid w:val="003C2078"/>
    <w:rsid w:val="003C4ADB"/>
    <w:rsid w:val="003D0657"/>
    <w:rsid w:val="003D0C02"/>
    <w:rsid w:val="003D695F"/>
    <w:rsid w:val="003E02E3"/>
    <w:rsid w:val="003E3BB9"/>
    <w:rsid w:val="003E5A08"/>
    <w:rsid w:val="003F23CF"/>
    <w:rsid w:val="00400CCA"/>
    <w:rsid w:val="004025D0"/>
    <w:rsid w:val="0040633F"/>
    <w:rsid w:val="004110D5"/>
    <w:rsid w:val="004217C0"/>
    <w:rsid w:val="00422F9E"/>
    <w:rsid w:val="00432A42"/>
    <w:rsid w:val="004347DF"/>
    <w:rsid w:val="00434F7F"/>
    <w:rsid w:val="004402F1"/>
    <w:rsid w:val="00446EED"/>
    <w:rsid w:val="0044778A"/>
    <w:rsid w:val="00450CD1"/>
    <w:rsid w:val="00456EE7"/>
    <w:rsid w:val="00457429"/>
    <w:rsid w:val="004603DD"/>
    <w:rsid w:val="00461137"/>
    <w:rsid w:val="00467A96"/>
    <w:rsid w:val="00473C13"/>
    <w:rsid w:val="00480E15"/>
    <w:rsid w:val="00493C2A"/>
    <w:rsid w:val="00495698"/>
    <w:rsid w:val="00496F7C"/>
    <w:rsid w:val="0049773D"/>
    <w:rsid w:val="004A105A"/>
    <w:rsid w:val="004A23D9"/>
    <w:rsid w:val="004A3562"/>
    <w:rsid w:val="004A401D"/>
    <w:rsid w:val="004A5023"/>
    <w:rsid w:val="004A6A9B"/>
    <w:rsid w:val="004A7B63"/>
    <w:rsid w:val="004B4841"/>
    <w:rsid w:val="004B49E4"/>
    <w:rsid w:val="004B5F1F"/>
    <w:rsid w:val="004B60E3"/>
    <w:rsid w:val="004C4367"/>
    <w:rsid w:val="004C524B"/>
    <w:rsid w:val="004C5D79"/>
    <w:rsid w:val="004D0D9F"/>
    <w:rsid w:val="004D7D84"/>
    <w:rsid w:val="004E1D84"/>
    <w:rsid w:val="004E262B"/>
    <w:rsid w:val="004E6ECE"/>
    <w:rsid w:val="004F35A1"/>
    <w:rsid w:val="005001D0"/>
    <w:rsid w:val="0050694D"/>
    <w:rsid w:val="00510B51"/>
    <w:rsid w:val="0051201C"/>
    <w:rsid w:val="00517A31"/>
    <w:rsid w:val="00517DA4"/>
    <w:rsid w:val="0052670A"/>
    <w:rsid w:val="0052727E"/>
    <w:rsid w:val="00527AE4"/>
    <w:rsid w:val="005350C8"/>
    <w:rsid w:val="00537ACB"/>
    <w:rsid w:val="00541882"/>
    <w:rsid w:val="0055351D"/>
    <w:rsid w:val="0055600C"/>
    <w:rsid w:val="0056304E"/>
    <w:rsid w:val="005655A6"/>
    <w:rsid w:val="00567CD1"/>
    <w:rsid w:val="005710C5"/>
    <w:rsid w:val="00571110"/>
    <w:rsid w:val="005761E9"/>
    <w:rsid w:val="005838B8"/>
    <w:rsid w:val="0058542C"/>
    <w:rsid w:val="00587AAE"/>
    <w:rsid w:val="00590AAA"/>
    <w:rsid w:val="005917EE"/>
    <w:rsid w:val="00593191"/>
    <w:rsid w:val="00593449"/>
    <w:rsid w:val="005B09CC"/>
    <w:rsid w:val="005B18F5"/>
    <w:rsid w:val="005B3FA1"/>
    <w:rsid w:val="005C248A"/>
    <w:rsid w:val="005C3D01"/>
    <w:rsid w:val="005C4F86"/>
    <w:rsid w:val="005C5E56"/>
    <w:rsid w:val="005D0761"/>
    <w:rsid w:val="005D3B9C"/>
    <w:rsid w:val="005D759F"/>
    <w:rsid w:val="005D777A"/>
    <w:rsid w:val="005E783D"/>
    <w:rsid w:val="006018B5"/>
    <w:rsid w:val="00602568"/>
    <w:rsid w:val="0060666E"/>
    <w:rsid w:val="00606D92"/>
    <w:rsid w:val="0060711C"/>
    <w:rsid w:val="006077A2"/>
    <w:rsid w:val="00610015"/>
    <w:rsid w:val="00611049"/>
    <w:rsid w:val="006118F6"/>
    <w:rsid w:val="00612CEB"/>
    <w:rsid w:val="0061312F"/>
    <w:rsid w:val="00615CB4"/>
    <w:rsid w:val="00616A24"/>
    <w:rsid w:val="00617501"/>
    <w:rsid w:val="006203E3"/>
    <w:rsid w:val="00621EE0"/>
    <w:rsid w:val="00627285"/>
    <w:rsid w:val="006340D5"/>
    <w:rsid w:val="006359D1"/>
    <w:rsid w:val="00636A14"/>
    <w:rsid w:val="00645517"/>
    <w:rsid w:val="00645C28"/>
    <w:rsid w:val="0064675D"/>
    <w:rsid w:val="00646912"/>
    <w:rsid w:val="00647E3C"/>
    <w:rsid w:val="00655E46"/>
    <w:rsid w:val="00656CA0"/>
    <w:rsid w:val="006661B5"/>
    <w:rsid w:val="00666779"/>
    <w:rsid w:val="00667BBD"/>
    <w:rsid w:val="006717D8"/>
    <w:rsid w:val="006759A7"/>
    <w:rsid w:val="00677EFF"/>
    <w:rsid w:val="00682474"/>
    <w:rsid w:val="00684935"/>
    <w:rsid w:val="006857F0"/>
    <w:rsid w:val="00685CE5"/>
    <w:rsid w:val="00685F62"/>
    <w:rsid w:val="00687A57"/>
    <w:rsid w:val="00691487"/>
    <w:rsid w:val="00695E07"/>
    <w:rsid w:val="00697984"/>
    <w:rsid w:val="006A5750"/>
    <w:rsid w:val="006B0092"/>
    <w:rsid w:val="006B1F84"/>
    <w:rsid w:val="006B20D8"/>
    <w:rsid w:val="006C093D"/>
    <w:rsid w:val="006C2B2C"/>
    <w:rsid w:val="006C5B20"/>
    <w:rsid w:val="006D1102"/>
    <w:rsid w:val="006D126B"/>
    <w:rsid w:val="006D35D6"/>
    <w:rsid w:val="006D3E90"/>
    <w:rsid w:val="006D6D33"/>
    <w:rsid w:val="006E2E87"/>
    <w:rsid w:val="006E4C76"/>
    <w:rsid w:val="006E4D8A"/>
    <w:rsid w:val="006E6C97"/>
    <w:rsid w:val="006F31C0"/>
    <w:rsid w:val="006F4237"/>
    <w:rsid w:val="00702EA6"/>
    <w:rsid w:val="00705ED9"/>
    <w:rsid w:val="00706FEE"/>
    <w:rsid w:val="00712FD8"/>
    <w:rsid w:val="00714150"/>
    <w:rsid w:val="007149AC"/>
    <w:rsid w:val="00721297"/>
    <w:rsid w:val="00725E33"/>
    <w:rsid w:val="007278F7"/>
    <w:rsid w:val="00727C17"/>
    <w:rsid w:val="00734B9B"/>
    <w:rsid w:val="00736C28"/>
    <w:rsid w:val="00737012"/>
    <w:rsid w:val="0074596E"/>
    <w:rsid w:val="007508DA"/>
    <w:rsid w:val="00751770"/>
    <w:rsid w:val="00751C45"/>
    <w:rsid w:val="00755D15"/>
    <w:rsid w:val="00757A8C"/>
    <w:rsid w:val="007645E8"/>
    <w:rsid w:val="00764D20"/>
    <w:rsid w:val="00764D4C"/>
    <w:rsid w:val="00776EC0"/>
    <w:rsid w:val="00781679"/>
    <w:rsid w:val="00781ACF"/>
    <w:rsid w:val="00787406"/>
    <w:rsid w:val="00787576"/>
    <w:rsid w:val="00790AF8"/>
    <w:rsid w:val="0079300A"/>
    <w:rsid w:val="00797C07"/>
    <w:rsid w:val="007A127A"/>
    <w:rsid w:val="007A485A"/>
    <w:rsid w:val="007A600E"/>
    <w:rsid w:val="007B1AC4"/>
    <w:rsid w:val="007B4D05"/>
    <w:rsid w:val="007B6900"/>
    <w:rsid w:val="007B6F2C"/>
    <w:rsid w:val="007B724E"/>
    <w:rsid w:val="007C0312"/>
    <w:rsid w:val="007C2322"/>
    <w:rsid w:val="007C2A08"/>
    <w:rsid w:val="007C32CE"/>
    <w:rsid w:val="007D4C8A"/>
    <w:rsid w:val="007D5027"/>
    <w:rsid w:val="007E0A6C"/>
    <w:rsid w:val="007E0ECA"/>
    <w:rsid w:val="007F2F5F"/>
    <w:rsid w:val="007F76BF"/>
    <w:rsid w:val="0080239A"/>
    <w:rsid w:val="00803AE8"/>
    <w:rsid w:val="00807421"/>
    <w:rsid w:val="008148FC"/>
    <w:rsid w:val="00821225"/>
    <w:rsid w:val="00826C7C"/>
    <w:rsid w:val="008302B8"/>
    <w:rsid w:val="00841FAC"/>
    <w:rsid w:val="00842515"/>
    <w:rsid w:val="008464BB"/>
    <w:rsid w:val="00846C32"/>
    <w:rsid w:val="0085415B"/>
    <w:rsid w:val="00856B4C"/>
    <w:rsid w:val="008605A3"/>
    <w:rsid w:val="00860D12"/>
    <w:rsid w:val="008622AB"/>
    <w:rsid w:val="0086231D"/>
    <w:rsid w:val="00862CFC"/>
    <w:rsid w:val="00863898"/>
    <w:rsid w:val="008642F1"/>
    <w:rsid w:val="00874487"/>
    <w:rsid w:val="00882DA3"/>
    <w:rsid w:val="00885426"/>
    <w:rsid w:val="00885C2F"/>
    <w:rsid w:val="00886217"/>
    <w:rsid w:val="0089588B"/>
    <w:rsid w:val="008968C3"/>
    <w:rsid w:val="00897CD3"/>
    <w:rsid w:val="008A1D8D"/>
    <w:rsid w:val="008A455F"/>
    <w:rsid w:val="008A663E"/>
    <w:rsid w:val="008B2274"/>
    <w:rsid w:val="008B2CF4"/>
    <w:rsid w:val="008B5E35"/>
    <w:rsid w:val="008C2970"/>
    <w:rsid w:val="008C66A4"/>
    <w:rsid w:val="008D3462"/>
    <w:rsid w:val="008E1A2D"/>
    <w:rsid w:val="008F5C2A"/>
    <w:rsid w:val="008F6DCE"/>
    <w:rsid w:val="00903EE9"/>
    <w:rsid w:val="00910611"/>
    <w:rsid w:val="009129FD"/>
    <w:rsid w:val="009200F3"/>
    <w:rsid w:val="009210F3"/>
    <w:rsid w:val="00921511"/>
    <w:rsid w:val="00921637"/>
    <w:rsid w:val="00926646"/>
    <w:rsid w:val="00927EF6"/>
    <w:rsid w:val="00930FF2"/>
    <w:rsid w:val="00934046"/>
    <w:rsid w:val="009342B9"/>
    <w:rsid w:val="009347A6"/>
    <w:rsid w:val="00945362"/>
    <w:rsid w:val="00953AED"/>
    <w:rsid w:val="009565B4"/>
    <w:rsid w:val="00957D4D"/>
    <w:rsid w:val="009653FA"/>
    <w:rsid w:val="00975C4F"/>
    <w:rsid w:val="00975E2A"/>
    <w:rsid w:val="009777D4"/>
    <w:rsid w:val="00983E33"/>
    <w:rsid w:val="00987F14"/>
    <w:rsid w:val="00990132"/>
    <w:rsid w:val="00994A8C"/>
    <w:rsid w:val="00996978"/>
    <w:rsid w:val="009A0553"/>
    <w:rsid w:val="009B1E17"/>
    <w:rsid w:val="009B30C7"/>
    <w:rsid w:val="009B375D"/>
    <w:rsid w:val="009B3BDE"/>
    <w:rsid w:val="009B5D4C"/>
    <w:rsid w:val="009C1D7C"/>
    <w:rsid w:val="009C31F1"/>
    <w:rsid w:val="009D1AB4"/>
    <w:rsid w:val="009D3A18"/>
    <w:rsid w:val="009D7531"/>
    <w:rsid w:val="009E2B99"/>
    <w:rsid w:val="009E72B3"/>
    <w:rsid w:val="009E7908"/>
    <w:rsid w:val="009F3DD3"/>
    <w:rsid w:val="00A03B8C"/>
    <w:rsid w:val="00A04D72"/>
    <w:rsid w:val="00A05CA8"/>
    <w:rsid w:val="00A137A1"/>
    <w:rsid w:val="00A13DA3"/>
    <w:rsid w:val="00A14C73"/>
    <w:rsid w:val="00A20ACF"/>
    <w:rsid w:val="00A236CC"/>
    <w:rsid w:val="00A25A11"/>
    <w:rsid w:val="00A31142"/>
    <w:rsid w:val="00A314A5"/>
    <w:rsid w:val="00A42D1B"/>
    <w:rsid w:val="00A5271D"/>
    <w:rsid w:val="00A542AF"/>
    <w:rsid w:val="00A715AC"/>
    <w:rsid w:val="00A7228A"/>
    <w:rsid w:val="00A72637"/>
    <w:rsid w:val="00A73BF8"/>
    <w:rsid w:val="00A80B8C"/>
    <w:rsid w:val="00A8616E"/>
    <w:rsid w:val="00A86930"/>
    <w:rsid w:val="00A93C6C"/>
    <w:rsid w:val="00A93F93"/>
    <w:rsid w:val="00A96AD2"/>
    <w:rsid w:val="00A97694"/>
    <w:rsid w:val="00AA29C5"/>
    <w:rsid w:val="00AA4DDF"/>
    <w:rsid w:val="00AA52D1"/>
    <w:rsid w:val="00AA5E9E"/>
    <w:rsid w:val="00AA6E29"/>
    <w:rsid w:val="00AA76F6"/>
    <w:rsid w:val="00AA7E8B"/>
    <w:rsid w:val="00AB0E80"/>
    <w:rsid w:val="00AB371E"/>
    <w:rsid w:val="00AC07E9"/>
    <w:rsid w:val="00AC6E33"/>
    <w:rsid w:val="00AC799B"/>
    <w:rsid w:val="00AC7CD3"/>
    <w:rsid w:val="00AD1718"/>
    <w:rsid w:val="00AE1277"/>
    <w:rsid w:val="00AE20E4"/>
    <w:rsid w:val="00AE2CCB"/>
    <w:rsid w:val="00AE41F2"/>
    <w:rsid w:val="00AF293E"/>
    <w:rsid w:val="00AF4115"/>
    <w:rsid w:val="00AF55F5"/>
    <w:rsid w:val="00AF5956"/>
    <w:rsid w:val="00AF77E6"/>
    <w:rsid w:val="00B00C8A"/>
    <w:rsid w:val="00B03398"/>
    <w:rsid w:val="00B03B12"/>
    <w:rsid w:val="00B04A62"/>
    <w:rsid w:val="00B15BE1"/>
    <w:rsid w:val="00B16CB3"/>
    <w:rsid w:val="00B209AA"/>
    <w:rsid w:val="00B34C4F"/>
    <w:rsid w:val="00B3790D"/>
    <w:rsid w:val="00B37EE1"/>
    <w:rsid w:val="00B47615"/>
    <w:rsid w:val="00B510FA"/>
    <w:rsid w:val="00B51C40"/>
    <w:rsid w:val="00B5457E"/>
    <w:rsid w:val="00B62B03"/>
    <w:rsid w:val="00B65AD8"/>
    <w:rsid w:val="00B7508A"/>
    <w:rsid w:val="00B81490"/>
    <w:rsid w:val="00B86298"/>
    <w:rsid w:val="00BA710F"/>
    <w:rsid w:val="00BC12B5"/>
    <w:rsid w:val="00BC1BB8"/>
    <w:rsid w:val="00BC1D7C"/>
    <w:rsid w:val="00BC3AD0"/>
    <w:rsid w:val="00BC4F99"/>
    <w:rsid w:val="00BC5B30"/>
    <w:rsid w:val="00BD1201"/>
    <w:rsid w:val="00BD4579"/>
    <w:rsid w:val="00BD62DE"/>
    <w:rsid w:val="00BD66B1"/>
    <w:rsid w:val="00BD70EA"/>
    <w:rsid w:val="00BD7392"/>
    <w:rsid w:val="00BD73F3"/>
    <w:rsid w:val="00BE4B29"/>
    <w:rsid w:val="00BE6EF0"/>
    <w:rsid w:val="00BF4135"/>
    <w:rsid w:val="00C05205"/>
    <w:rsid w:val="00C102E4"/>
    <w:rsid w:val="00C12E40"/>
    <w:rsid w:val="00C13E37"/>
    <w:rsid w:val="00C14A96"/>
    <w:rsid w:val="00C15E18"/>
    <w:rsid w:val="00C17390"/>
    <w:rsid w:val="00C17663"/>
    <w:rsid w:val="00C17E59"/>
    <w:rsid w:val="00C215B2"/>
    <w:rsid w:val="00C26639"/>
    <w:rsid w:val="00C324F5"/>
    <w:rsid w:val="00C33915"/>
    <w:rsid w:val="00C36F62"/>
    <w:rsid w:val="00C378D2"/>
    <w:rsid w:val="00C37A7A"/>
    <w:rsid w:val="00C409FE"/>
    <w:rsid w:val="00C41E9C"/>
    <w:rsid w:val="00C426A8"/>
    <w:rsid w:val="00C43F3F"/>
    <w:rsid w:val="00C50122"/>
    <w:rsid w:val="00C56AB1"/>
    <w:rsid w:val="00C61DA4"/>
    <w:rsid w:val="00C63130"/>
    <w:rsid w:val="00C63B1F"/>
    <w:rsid w:val="00C6583E"/>
    <w:rsid w:val="00C6689D"/>
    <w:rsid w:val="00C70AEF"/>
    <w:rsid w:val="00C715BC"/>
    <w:rsid w:val="00C721D3"/>
    <w:rsid w:val="00C73719"/>
    <w:rsid w:val="00C7397C"/>
    <w:rsid w:val="00C74FFB"/>
    <w:rsid w:val="00C84C24"/>
    <w:rsid w:val="00C84F91"/>
    <w:rsid w:val="00C87970"/>
    <w:rsid w:val="00C879ED"/>
    <w:rsid w:val="00CA0B33"/>
    <w:rsid w:val="00CA533A"/>
    <w:rsid w:val="00CA6DA3"/>
    <w:rsid w:val="00CB040E"/>
    <w:rsid w:val="00CB67AC"/>
    <w:rsid w:val="00CB7B81"/>
    <w:rsid w:val="00CC223B"/>
    <w:rsid w:val="00CC4608"/>
    <w:rsid w:val="00CD09D1"/>
    <w:rsid w:val="00CD3FA8"/>
    <w:rsid w:val="00CD659F"/>
    <w:rsid w:val="00CE097B"/>
    <w:rsid w:val="00CE4A62"/>
    <w:rsid w:val="00CE576D"/>
    <w:rsid w:val="00CE7648"/>
    <w:rsid w:val="00CF0410"/>
    <w:rsid w:val="00D0452F"/>
    <w:rsid w:val="00D05C12"/>
    <w:rsid w:val="00D102FA"/>
    <w:rsid w:val="00D11D44"/>
    <w:rsid w:val="00D23439"/>
    <w:rsid w:val="00D27A65"/>
    <w:rsid w:val="00D37525"/>
    <w:rsid w:val="00D375C5"/>
    <w:rsid w:val="00D37DA9"/>
    <w:rsid w:val="00D41392"/>
    <w:rsid w:val="00D41F31"/>
    <w:rsid w:val="00D473AB"/>
    <w:rsid w:val="00D62C6C"/>
    <w:rsid w:val="00D64606"/>
    <w:rsid w:val="00D73E8A"/>
    <w:rsid w:val="00D75E5C"/>
    <w:rsid w:val="00D77A99"/>
    <w:rsid w:val="00D8736B"/>
    <w:rsid w:val="00D91C93"/>
    <w:rsid w:val="00D95C14"/>
    <w:rsid w:val="00D97468"/>
    <w:rsid w:val="00DA6AE1"/>
    <w:rsid w:val="00DA74D2"/>
    <w:rsid w:val="00DA7837"/>
    <w:rsid w:val="00DB2522"/>
    <w:rsid w:val="00DB2E4D"/>
    <w:rsid w:val="00DB6A59"/>
    <w:rsid w:val="00DB7DA4"/>
    <w:rsid w:val="00DC1F5F"/>
    <w:rsid w:val="00DC5648"/>
    <w:rsid w:val="00DD37A7"/>
    <w:rsid w:val="00DD667A"/>
    <w:rsid w:val="00DE52BC"/>
    <w:rsid w:val="00DE5DDF"/>
    <w:rsid w:val="00DE6C96"/>
    <w:rsid w:val="00DF282B"/>
    <w:rsid w:val="00DF4861"/>
    <w:rsid w:val="00E05253"/>
    <w:rsid w:val="00E05DF8"/>
    <w:rsid w:val="00E06FFC"/>
    <w:rsid w:val="00E13048"/>
    <w:rsid w:val="00E14E05"/>
    <w:rsid w:val="00E17F32"/>
    <w:rsid w:val="00E25C1D"/>
    <w:rsid w:val="00E3115E"/>
    <w:rsid w:val="00E31489"/>
    <w:rsid w:val="00E32960"/>
    <w:rsid w:val="00E32DA5"/>
    <w:rsid w:val="00E36FB8"/>
    <w:rsid w:val="00E37461"/>
    <w:rsid w:val="00E37529"/>
    <w:rsid w:val="00E37B80"/>
    <w:rsid w:val="00E37E92"/>
    <w:rsid w:val="00E4534F"/>
    <w:rsid w:val="00E52C12"/>
    <w:rsid w:val="00E55538"/>
    <w:rsid w:val="00E564BA"/>
    <w:rsid w:val="00E564DA"/>
    <w:rsid w:val="00E61090"/>
    <w:rsid w:val="00E624F4"/>
    <w:rsid w:val="00E62AAB"/>
    <w:rsid w:val="00E71995"/>
    <w:rsid w:val="00E71E71"/>
    <w:rsid w:val="00E748A6"/>
    <w:rsid w:val="00E81D21"/>
    <w:rsid w:val="00E847F3"/>
    <w:rsid w:val="00E854BA"/>
    <w:rsid w:val="00EA4CD1"/>
    <w:rsid w:val="00EB5DAC"/>
    <w:rsid w:val="00EB7F17"/>
    <w:rsid w:val="00EC3D5E"/>
    <w:rsid w:val="00EC5938"/>
    <w:rsid w:val="00ED18C9"/>
    <w:rsid w:val="00ED506A"/>
    <w:rsid w:val="00ED74DA"/>
    <w:rsid w:val="00EF1E59"/>
    <w:rsid w:val="00EF2CD7"/>
    <w:rsid w:val="00EF4CC7"/>
    <w:rsid w:val="00EF6B37"/>
    <w:rsid w:val="00F00364"/>
    <w:rsid w:val="00F02326"/>
    <w:rsid w:val="00F226D1"/>
    <w:rsid w:val="00F24624"/>
    <w:rsid w:val="00F27061"/>
    <w:rsid w:val="00F30038"/>
    <w:rsid w:val="00F3166E"/>
    <w:rsid w:val="00F33AEB"/>
    <w:rsid w:val="00F3584D"/>
    <w:rsid w:val="00F41B75"/>
    <w:rsid w:val="00F46876"/>
    <w:rsid w:val="00F517F5"/>
    <w:rsid w:val="00F51B91"/>
    <w:rsid w:val="00F553CF"/>
    <w:rsid w:val="00F6047D"/>
    <w:rsid w:val="00F63465"/>
    <w:rsid w:val="00F63C60"/>
    <w:rsid w:val="00F647DF"/>
    <w:rsid w:val="00F655AD"/>
    <w:rsid w:val="00F65A4D"/>
    <w:rsid w:val="00F66639"/>
    <w:rsid w:val="00F74180"/>
    <w:rsid w:val="00F74BBC"/>
    <w:rsid w:val="00F77B2B"/>
    <w:rsid w:val="00F77F9D"/>
    <w:rsid w:val="00F819C4"/>
    <w:rsid w:val="00F838C4"/>
    <w:rsid w:val="00F90456"/>
    <w:rsid w:val="00F94DFD"/>
    <w:rsid w:val="00FA3F00"/>
    <w:rsid w:val="00FA4E99"/>
    <w:rsid w:val="00FB7EE7"/>
    <w:rsid w:val="00FC5895"/>
    <w:rsid w:val="00FC72A9"/>
    <w:rsid w:val="00FD2A0C"/>
    <w:rsid w:val="00FD383C"/>
    <w:rsid w:val="00FD7882"/>
    <w:rsid w:val="00FD7E99"/>
    <w:rsid w:val="00FE1D7B"/>
    <w:rsid w:val="00FE3764"/>
    <w:rsid w:val="00FE6E49"/>
    <w:rsid w:val="00FF1EB6"/>
    <w:rsid w:val="00FF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AD"/>
  </w:style>
  <w:style w:type="paragraph" w:styleId="Heading1">
    <w:name w:val="heading 1"/>
    <w:basedOn w:val="Normal"/>
    <w:next w:val="Normal"/>
    <w:link w:val="Heading1Char"/>
    <w:qFormat/>
    <w:rsid w:val="00205132"/>
    <w:pPr>
      <w:keepNext/>
      <w:ind w:left="0" w:firstLine="0"/>
      <w:jc w:val="center"/>
      <w:outlineLvl w:val="0"/>
    </w:pPr>
    <w:rPr>
      <w:rFonts w:ascii="Arial" w:eastAsia="Times New Roman" w:hAnsi="Arial"/>
      <w:b/>
      <w:bCs/>
      <w:noProof/>
      <w:sz w:val="20"/>
      <w:lang w:val="sr-Latn-BA"/>
    </w:rPr>
  </w:style>
  <w:style w:type="paragraph" w:styleId="Heading3">
    <w:name w:val="heading 3"/>
    <w:basedOn w:val="Normal"/>
    <w:next w:val="Normal"/>
    <w:link w:val="Heading3Char"/>
    <w:semiHidden/>
    <w:unhideWhenUsed/>
    <w:qFormat/>
    <w:rsid w:val="00205132"/>
    <w:pPr>
      <w:keepNext/>
      <w:spacing w:before="240" w:after="60"/>
      <w:ind w:left="0" w:firstLine="0"/>
      <w:jc w:val="left"/>
      <w:outlineLvl w:val="2"/>
    </w:pPr>
    <w:rPr>
      <w:rFonts w:ascii="Cambria" w:eastAsia="Times New Roman" w:hAnsi="Cambria"/>
      <w:b/>
      <w:bCs/>
      <w:noProof/>
      <w:sz w:val="26"/>
      <w:szCs w:val="26"/>
      <w:lang w:val="sr-Latn-BA"/>
    </w:rPr>
  </w:style>
  <w:style w:type="paragraph" w:styleId="Heading5">
    <w:name w:val="heading 5"/>
    <w:basedOn w:val="Normal"/>
    <w:next w:val="Normal"/>
    <w:link w:val="Heading5Char"/>
    <w:unhideWhenUsed/>
    <w:qFormat/>
    <w:rsid w:val="004F35A1"/>
    <w:pPr>
      <w:spacing w:before="240" w:after="60"/>
      <w:ind w:left="0" w:firstLine="0"/>
      <w:jc w:val="left"/>
      <w:outlineLvl w:val="4"/>
    </w:pPr>
    <w:rPr>
      <w:rFonts w:ascii="Calibri" w:eastAsia="Times New Roman" w:hAnsi="Calibri"/>
      <w:b/>
      <w:bCs/>
      <w:i/>
      <w:iCs/>
      <w:noProof/>
      <w:sz w:val="26"/>
      <w:szCs w:val="26"/>
      <w:lang w:val="sr-Latn-BA"/>
    </w:rPr>
  </w:style>
  <w:style w:type="paragraph" w:styleId="Heading7">
    <w:name w:val="heading 7"/>
    <w:basedOn w:val="Normal"/>
    <w:next w:val="Normal"/>
    <w:link w:val="Heading7Char"/>
    <w:uiPriority w:val="9"/>
    <w:unhideWhenUsed/>
    <w:qFormat/>
    <w:rsid w:val="00F300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36F62"/>
    <w:pPr>
      <w:spacing w:before="240" w:after="60"/>
      <w:ind w:left="0" w:firstLine="0"/>
      <w:jc w:val="left"/>
      <w:outlineLvl w:val="8"/>
    </w:pPr>
    <w:rPr>
      <w:rFonts w:ascii="Arial" w:eastAsia="Times New Roman" w:hAnsi="Arial" w:cs="Arial"/>
      <w:noProof/>
      <w:sz w:val="22"/>
      <w:szCs w:val="22"/>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0"/>
    <w:pPr>
      <w:ind w:left="720"/>
      <w:contextualSpacing/>
    </w:pPr>
  </w:style>
  <w:style w:type="paragraph" w:styleId="BodyTextIndent">
    <w:name w:val="Body Text Indent"/>
    <w:basedOn w:val="Normal"/>
    <w:link w:val="BodyTextIndentChar"/>
    <w:rsid w:val="00AF293E"/>
    <w:pPr>
      <w:ind w:left="3600" w:hanging="3600"/>
    </w:pPr>
    <w:rPr>
      <w:rFonts w:eastAsia="Times New Roman"/>
      <w:szCs w:val="20"/>
      <w:lang w:val="sr-Cyrl-CS"/>
    </w:rPr>
  </w:style>
  <w:style w:type="character" w:customStyle="1" w:styleId="BodyTextIndentChar">
    <w:name w:val="Body Text Indent Char"/>
    <w:basedOn w:val="DefaultParagraphFont"/>
    <w:link w:val="BodyTextIndent"/>
    <w:rsid w:val="00AF293E"/>
    <w:rPr>
      <w:rFonts w:eastAsia="Times New Roman"/>
      <w:bCs w:val="0"/>
      <w:szCs w:val="20"/>
      <w:lang w:val="sr-Cyrl-CS"/>
    </w:rPr>
  </w:style>
  <w:style w:type="paragraph" w:styleId="BodyText">
    <w:name w:val="Body Text"/>
    <w:basedOn w:val="Normal"/>
    <w:link w:val="BodyTextChar"/>
    <w:rsid w:val="00AF293E"/>
    <w:pPr>
      <w:ind w:left="0" w:firstLine="0"/>
    </w:pPr>
    <w:rPr>
      <w:rFonts w:eastAsia="Times New Roman"/>
      <w:szCs w:val="20"/>
      <w:lang w:val="sr-Cyrl-CS"/>
    </w:rPr>
  </w:style>
  <w:style w:type="character" w:customStyle="1" w:styleId="BodyTextChar">
    <w:name w:val="Body Text Char"/>
    <w:basedOn w:val="DefaultParagraphFont"/>
    <w:link w:val="BodyText"/>
    <w:rsid w:val="00AF293E"/>
    <w:rPr>
      <w:rFonts w:eastAsia="Times New Roman"/>
      <w:bCs w:val="0"/>
      <w:szCs w:val="20"/>
      <w:lang w:val="sr-Cyrl-CS"/>
    </w:rPr>
  </w:style>
  <w:style w:type="character" w:styleId="Hyperlink">
    <w:name w:val="Hyperlink"/>
    <w:basedOn w:val="DefaultParagraphFont"/>
    <w:rsid w:val="00AF293E"/>
    <w:rPr>
      <w:color w:val="0000FF"/>
      <w:u w:val="single"/>
    </w:rPr>
  </w:style>
  <w:style w:type="paragraph" w:styleId="BodyText3">
    <w:name w:val="Body Text 3"/>
    <w:basedOn w:val="Normal"/>
    <w:link w:val="BodyText3Char"/>
    <w:uiPriority w:val="99"/>
    <w:semiHidden/>
    <w:unhideWhenUsed/>
    <w:rsid w:val="003F23CF"/>
    <w:pPr>
      <w:spacing w:after="120"/>
    </w:pPr>
    <w:rPr>
      <w:sz w:val="16"/>
      <w:szCs w:val="16"/>
    </w:rPr>
  </w:style>
  <w:style w:type="character" w:customStyle="1" w:styleId="BodyText3Char">
    <w:name w:val="Body Text 3 Char"/>
    <w:basedOn w:val="DefaultParagraphFont"/>
    <w:link w:val="BodyText3"/>
    <w:uiPriority w:val="99"/>
    <w:semiHidden/>
    <w:rsid w:val="003F23CF"/>
    <w:rPr>
      <w:sz w:val="16"/>
      <w:szCs w:val="16"/>
    </w:rPr>
  </w:style>
  <w:style w:type="paragraph" w:styleId="NoSpacing">
    <w:name w:val="No Spacing"/>
    <w:uiPriority w:val="1"/>
    <w:qFormat/>
    <w:rsid w:val="001651D2"/>
    <w:pPr>
      <w:ind w:left="0" w:firstLine="0"/>
      <w:jc w:val="left"/>
    </w:pPr>
    <w:rPr>
      <w:rFonts w:eastAsia="Calibri"/>
      <w:szCs w:val="22"/>
    </w:rPr>
  </w:style>
  <w:style w:type="character" w:customStyle="1" w:styleId="Heading1Char">
    <w:name w:val="Heading 1 Char"/>
    <w:basedOn w:val="DefaultParagraphFont"/>
    <w:link w:val="Heading1"/>
    <w:uiPriority w:val="9"/>
    <w:rsid w:val="00205132"/>
    <w:rPr>
      <w:rFonts w:ascii="Arial" w:eastAsia="Times New Roman" w:hAnsi="Arial"/>
      <w:b/>
      <w:bCs/>
      <w:noProof/>
      <w:sz w:val="20"/>
      <w:lang w:val="sr-Latn-BA"/>
    </w:rPr>
  </w:style>
  <w:style w:type="character" w:customStyle="1" w:styleId="Heading3Char">
    <w:name w:val="Heading 3 Char"/>
    <w:basedOn w:val="DefaultParagraphFont"/>
    <w:link w:val="Heading3"/>
    <w:semiHidden/>
    <w:rsid w:val="00205132"/>
    <w:rPr>
      <w:rFonts w:ascii="Cambria" w:eastAsia="Times New Roman" w:hAnsi="Cambria"/>
      <w:b/>
      <w:bCs/>
      <w:noProof/>
      <w:sz w:val="26"/>
      <w:szCs w:val="26"/>
      <w:lang w:val="sr-Latn-BA"/>
    </w:rPr>
  </w:style>
  <w:style w:type="paragraph" w:styleId="BodyTextIndent3">
    <w:name w:val="Body Text Indent 3"/>
    <w:basedOn w:val="Normal"/>
    <w:link w:val="BodyTextIndent3Char"/>
    <w:rsid w:val="00205132"/>
    <w:pPr>
      <w:spacing w:after="120"/>
      <w:ind w:left="283" w:firstLine="0"/>
      <w:jc w:val="left"/>
    </w:pPr>
    <w:rPr>
      <w:rFonts w:ascii="Arial" w:eastAsia="Times New Roman" w:hAnsi="Arial"/>
      <w:noProof/>
      <w:sz w:val="16"/>
      <w:szCs w:val="16"/>
      <w:lang w:val="sr-Latn-BA"/>
    </w:rPr>
  </w:style>
  <w:style w:type="character" w:customStyle="1" w:styleId="BodyTextIndent3Char">
    <w:name w:val="Body Text Indent 3 Char"/>
    <w:basedOn w:val="DefaultParagraphFont"/>
    <w:link w:val="BodyTextIndent3"/>
    <w:rsid w:val="00205132"/>
    <w:rPr>
      <w:rFonts w:ascii="Arial" w:eastAsia="Times New Roman" w:hAnsi="Arial"/>
      <w:noProof/>
      <w:sz w:val="16"/>
      <w:szCs w:val="16"/>
      <w:lang w:val="sr-Latn-BA"/>
    </w:rPr>
  </w:style>
  <w:style w:type="character" w:customStyle="1" w:styleId="Heading5Char">
    <w:name w:val="Heading 5 Char"/>
    <w:basedOn w:val="DefaultParagraphFont"/>
    <w:link w:val="Heading5"/>
    <w:rsid w:val="004F35A1"/>
    <w:rPr>
      <w:rFonts w:ascii="Calibri" w:eastAsia="Times New Roman" w:hAnsi="Calibri"/>
      <w:b/>
      <w:bCs/>
      <w:i/>
      <w:iCs/>
      <w:noProof/>
      <w:sz w:val="26"/>
      <w:szCs w:val="26"/>
      <w:lang w:val="sr-Latn-BA"/>
    </w:rPr>
  </w:style>
  <w:style w:type="character" w:customStyle="1" w:styleId="Heading9Char">
    <w:name w:val="Heading 9 Char"/>
    <w:basedOn w:val="DefaultParagraphFont"/>
    <w:link w:val="Heading9"/>
    <w:rsid w:val="00C36F62"/>
    <w:rPr>
      <w:rFonts w:ascii="Arial" w:eastAsia="Times New Roman" w:hAnsi="Arial" w:cs="Arial"/>
      <w:noProof/>
      <w:sz w:val="22"/>
      <w:szCs w:val="22"/>
      <w:lang w:val="sr-Latn-BA"/>
    </w:rPr>
  </w:style>
  <w:style w:type="paragraph" w:customStyle="1" w:styleId="Default">
    <w:name w:val="Default"/>
    <w:rsid w:val="006C5B20"/>
    <w:pPr>
      <w:autoSpaceDE w:val="0"/>
      <w:autoSpaceDN w:val="0"/>
      <w:adjustRightInd w:val="0"/>
      <w:ind w:left="0" w:firstLine="0"/>
      <w:jc w:val="left"/>
    </w:pPr>
    <w:rPr>
      <w:rFonts w:eastAsia="Times New Roman"/>
      <w:color w:val="000000"/>
    </w:rPr>
  </w:style>
  <w:style w:type="paragraph" w:styleId="PlainText">
    <w:name w:val="Plain Text"/>
    <w:basedOn w:val="Normal"/>
    <w:link w:val="PlainTextChar"/>
    <w:rsid w:val="009129FD"/>
    <w:pPr>
      <w:ind w:left="0" w:firstLine="0"/>
      <w:jc w:val="left"/>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9129FD"/>
    <w:rPr>
      <w:rFonts w:ascii="Courier New" w:eastAsia="Times New Roman" w:hAnsi="Courier New" w:cs="Courier New"/>
      <w:sz w:val="20"/>
      <w:szCs w:val="20"/>
      <w:lang w:val="sr-Latn-CS" w:eastAsia="sr-Latn-CS"/>
    </w:rPr>
  </w:style>
  <w:style w:type="paragraph" w:styleId="BodyTextIndent2">
    <w:name w:val="Body Text Indent 2"/>
    <w:basedOn w:val="Normal"/>
    <w:link w:val="BodyTextIndent2Char"/>
    <w:rsid w:val="00A96AD2"/>
    <w:pPr>
      <w:spacing w:after="120" w:line="480" w:lineRule="auto"/>
      <w:ind w:left="283" w:firstLine="0"/>
      <w:jc w:val="left"/>
    </w:pPr>
    <w:rPr>
      <w:rFonts w:ascii="Arial" w:eastAsia="Times New Roman" w:hAnsi="Arial"/>
      <w:noProof/>
      <w:sz w:val="20"/>
      <w:lang w:val="sr-Latn-BA"/>
    </w:rPr>
  </w:style>
  <w:style w:type="character" w:customStyle="1" w:styleId="BodyTextIndent2Char">
    <w:name w:val="Body Text Indent 2 Char"/>
    <w:basedOn w:val="DefaultParagraphFont"/>
    <w:link w:val="BodyTextIndent2"/>
    <w:rsid w:val="00A96AD2"/>
    <w:rPr>
      <w:rFonts w:ascii="Arial" w:eastAsia="Times New Roman" w:hAnsi="Arial"/>
      <w:noProof/>
      <w:sz w:val="20"/>
      <w:lang w:val="sr-Latn-BA"/>
    </w:rPr>
  </w:style>
  <w:style w:type="paragraph" w:styleId="NormalWeb">
    <w:name w:val="Normal (Web)"/>
    <w:basedOn w:val="Normal"/>
    <w:uiPriority w:val="99"/>
    <w:unhideWhenUsed/>
    <w:rsid w:val="002D4CC5"/>
    <w:pPr>
      <w:spacing w:before="100" w:beforeAutospacing="1" w:after="100" w:afterAutospacing="1"/>
      <w:ind w:left="0" w:firstLine="0"/>
      <w:jc w:val="left"/>
    </w:pPr>
    <w:rPr>
      <w:rFonts w:eastAsia="Times New Roman"/>
    </w:rPr>
  </w:style>
  <w:style w:type="character" w:styleId="Strong">
    <w:name w:val="Strong"/>
    <w:basedOn w:val="DefaultParagraphFont"/>
    <w:uiPriority w:val="22"/>
    <w:qFormat/>
    <w:rsid w:val="000A299C"/>
    <w:rPr>
      <w:b/>
      <w:bCs/>
    </w:rPr>
  </w:style>
  <w:style w:type="character" w:customStyle="1" w:styleId="Heading7Char">
    <w:name w:val="Heading 7 Char"/>
    <w:basedOn w:val="DefaultParagraphFont"/>
    <w:link w:val="Heading7"/>
    <w:uiPriority w:val="9"/>
    <w:rsid w:val="00F30038"/>
    <w:rPr>
      <w:rFonts w:asciiTheme="majorHAnsi" w:eastAsiaTheme="majorEastAsia" w:hAnsiTheme="majorHAnsi" w:cstheme="majorBidi"/>
      <w:i/>
      <w:iCs/>
      <w:color w:val="404040" w:themeColor="text1" w:themeTint="BF"/>
    </w:rPr>
  </w:style>
  <w:style w:type="paragraph" w:customStyle="1" w:styleId="Char">
    <w:name w:val="Char"/>
    <w:basedOn w:val="Normal"/>
    <w:rsid w:val="00FA3F00"/>
    <w:pPr>
      <w:spacing w:after="160" w:line="240" w:lineRule="exact"/>
      <w:ind w:left="0" w:firstLine="0"/>
      <w:jc w:val="left"/>
    </w:pPr>
    <w:rPr>
      <w:rFonts w:ascii="Verdana" w:eastAsia="Times New Roman" w:hAnsi="Verdana"/>
      <w:noProof/>
      <w:sz w:val="20"/>
      <w:szCs w:val="20"/>
      <w:lang w:val="sr-Latn-BA"/>
    </w:rPr>
  </w:style>
  <w:style w:type="paragraph" w:styleId="Header">
    <w:name w:val="header"/>
    <w:basedOn w:val="Normal"/>
    <w:link w:val="HeaderChar"/>
    <w:uiPriority w:val="99"/>
    <w:semiHidden/>
    <w:unhideWhenUsed/>
    <w:rsid w:val="00266A33"/>
    <w:pPr>
      <w:tabs>
        <w:tab w:val="center" w:pos="4680"/>
        <w:tab w:val="right" w:pos="9360"/>
      </w:tabs>
    </w:pPr>
  </w:style>
  <w:style w:type="character" w:customStyle="1" w:styleId="HeaderChar">
    <w:name w:val="Header Char"/>
    <w:basedOn w:val="DefaultParagraphFont"/>
    <w:link w:val="Header"/>
    <w:uiPriority w:val="99"/>
    <w:semiHidden/>
    <w:rsid w:val="00266A33"/>
  </w:style>
  <w:style w:type="paragraph" w:styleId="Footer">
    <w:name w:val="footer"/>
    <w:basedOn w:val="Normal"/>
    <w:link w:val="FooterChar"/>
    <w:uiPriority w:val="99"/>
    <w:unhideWhenUsed/>
    <w:rsid w:val="00266A33"/>
    <w:pPr>
      <w:tabs>
        <w:tab w:val="center" w:pos="4680"/>
        <w:tab w:val="right" w:pos="9360"/>
      </w:tabs>
    </w:pPr>
  </w:style>
  <w:style w:type="character" w:customStyle="1" w:styleId="FooterChar">
    <w:name w:val="Footer Char"/>
    <w:basedOn w:val="DefaultParagraphFont"/>
    <w:link w:val="Footer"/>
    <w:uiPriority w:val="99"/>
    <w:rsid w:val="00266A33"/>
  </w:style>
  <w:style w:type="table" w:styleId="TableGrid">
    <w:name w:val="Table Grid"/>
    <w:basedOn w:val="TableNormal"/>
    <w:uiPriority w:val="59"/>
    <w:rsid w:val="00E564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380">
      <w:bodyDiv w:val="1"/>
      <w:marLeft w:val="0"/>
      <w:marRight w:val="0"/>
      <w:marTop w:val="0"/>
      <w:marBottom w:val="0"/>
      <w:divBdr>
        <w:top w:val="none" w:sz="0" w:space="0" w:color="auto"/>
        <w:left w:val="none" w:sz="0" w:space="0" w:color="auto"/>
        <w:bottom w:val="none" w:sz="0" w:space="0" w:color="auto"/>
        <w:right w:val="none" w:sz="0" w:space="0" w:color="auto"/>
      </w:divBdr>
    </w:div>
    <w:div w:id="3363171">
      <w:bodyDiv w:val="1"/>
      <w:marLeft w:val="0"/>
      <w:marRight w:val="0"/>
      <w:marTop w:val="0"/>
      <w:marBottom w:val="0"/>
      <w:divBdr>
        <w:top w:val="none" w:sz="0" w:space="0" w:color="auto"/>
        <w:left w:val="none" w:sz="0" w:space="0" w:color="auto"/>
        <w:bottom w:val="none" w:sz="0" w:space="0" w:color="auto"/>
        <w:right w:val="none" w:sz="0" w:space="0" w:color="auto"/>
      </w:divBdr>
    </w:div>
    <w:div w:id="76482850">
      <w:bodyDiv w:val="1"/>
      <w:marLeft w:val="0"/>
      <w:marRight w:val="0"/>
      <w:marTop w:val="0"/>
      <w:marBottom w:val="0"/>
      <w:divBdr>
        <w:top w:val="none" w:sz="0" w:space="0" w:color="auto"/>
        <w:left w:val="none" w:sz="0" w:space="0" w:color="auto"/>
        <w:bottom w:val="none" w:sz="0" w:space="0" w:color="auto"/>
        <w:right w:val="none" w:sz="0" w:space="0" w:color="auto"/>
      </w:divBdr>
    </w:div>
    <w:div w:id="139618863">
      <w:bodyDiv w:val="1"/>
      <w:marLeft w:val="0"/>
      <w:marRight w:val="0"/>
      <w:marTop w:val="0"/>
      <w:marBottom w:val="0"/>
      <w:divBdr>
        <w:top w:val="none" w:sz="0" w:space="0" w:color="auto"/>
        <w:left w:val="none" w:sz="0" w:space="0" w:color="auto"/>
        <w:bottom w:val="none" w:sz="0" w:space="0" w:color="auto"/>
        <w:right w:val="none" w:sz="0" w:space="0" w:color="auto"/>
      </w:divBdr>
    </w:div>
    <w:div w:id="198788186">
      <w:bodyDiv w:val="1"/>
      <w:marLeft w:val="0"/>
      <w:marRight w:val="0"/>
      <w:marTop w:val="0"/>
      <w:marBottom w:val="0"/>
      <w:divBdr>
        <w:top w:val="none" w:sz="0" w:space="0" w:color="auto"/>
        <w:left w:val="none" w:sz="0" w:space="0" w:color="auto"/>
        <w:bottom w:val="none" w:sz="0" w:space="0" w:color="auto"/>
        <w:right w:val="none" w:sz="0" w:space="0" w:color="auto"/>
      </w:divBdr>
    </w:div>
    <w:div w:id="252401942">
      <w:bodyDiv w:val="1"/>
      <w:marLeft w:val="0"/>
      <w:marRight w:val="0"/>
      <w:marTop w:val="0"/>
      <w:marBottom w:val="0"/>
      <w:divBdr>
        <w:top w:val="none" w:sz="0" w:space="0" w:color="auto"/>
        <w:left w:val="none" w:sz="0" w:space="0" w:color="auto"/>
        <w:bottom w:val="none" w:sz="0" w:space="0" w:color="auto"/>
        <w:right w:val="none" w:sz="0" w:space="0" w:color="auto"/>
      </w:divBdr>
    </w:div>
    <w:div w:id="339745465">
      <w:bodyDiv w:val="1"/>
      <w:marLeft w:val="0"/>
      <w:marRight w:val="0"/>
      <w:marTop w:val="0"/>
      <w:marBottom w:val="0"/>
      <w:divBdr>
        <w:top w:val="none" w:sz="0" w:space="0" w:color="auto"/>
        <w:left w:val="none" w:sz="0" w:space="0" w:color="auto"/>
        <w:bottom w:val="none" w:sz="0" w:space="0" w:color="auto"/>
        <w:right w:val="none" w:sz="0" w:space="0" w:color="auto"/>
      </w:divBdr>
    </w:div>
    <w:div w:id="344862402">
      <w:bodyDiv w:val="1"/>
      <w:marLeft w:val="0"/>
      <w:marRight w:val="0"/>
      <w:marTop w:val="0"/>
      <w:marBottom w:val="0"/>
      <w:divBdr>
        <w:top w:val="none" w:sz="0" w:space="0" w:color="auto"/>
        <w:left w:val="none" w:sz="0" w:space="0" w:color="auto"/>
        <w:bottom w:val="none" w:sz="0" w:space="0" w:color="auto"/>
        <w:right w:val="none" w:sz="0" w:space="0" w:color="auto"/>
      </w:divBdr>
    </w:div>
    <w:div w:id="355817088">
      <w:bodyDiv w:val="1"/>
      <w:marLeft w:val="0"/>
      <w:marRight w:val="0"/>
      <w:marTop w:val="0"/>
      <w:marBottom w:val="0"/>
      <w:divBdr>
        <w:top w:val="none" w:sz="0" w:space="0" w:color="auto"/>
        <w:left w:val="none" w:sz="0" w:space="0" w:color="auto"/>
        <w:bottom w:val="none" w:sz="0" w:space="0" w:color="auto"/>
        <w:right w:val="none" w:sz="0" w:space="0" w:color="auto"/>
      </w:divBdr>
    </w:div>
    <w:div w:id="429855758">
      <w:bodyDiv w:val="1"/>
      <w:marLeft w:val="0"/>
      <w:marRight w:val="0"/>
      <w:marTop w:val="0"/>
      <w:marBottom w:val="0"/>
      <w:divBdr>
        <w:top w:val="none" w:sz="0" w:space="0" w:color="auto"/>
        <w:left w:val="none" w:sz="0" w:space="0" w:color="auto"/>
        <w:bottom w:val="none" w:sz="0" w:space="0" w:color="auto"/>
        <w:right w:val="none" w:sz="0" w:space="0" w:color="auto"/>
      </w:divBdr>
    </w:div>
    <w:div w:id="430053553">
      <w:bodyDiv w:val="1"/>
      <w:marLeft w:val="0"/>
      <w:marRight w:val="0"/>
      <w:marTop w:val="0"/>
      <w:marBottom w:val="0"/>
      <w:divBdr>
        <w:top w:val="none" w:sz="0" w:space="0" w:color="auto"/>
        <w:left w:val="none" w:sz="0" w:space="0" w:color="auto"/>
        <w:bottom w:val="none" w:sz="0" w:space="0" w:color="auto"/>
        <w:right w:val="none" w:sz="0" w:space="0" w:color="auto"/>
      </w:divBdr>
    </w:div>
    <w:div w:id="473063380">
      <w:bodyDiv w:val="1"/>
      <w:marLeft w:val="0"/>
      <w:marRight w:val="0"/>
      <w:marTop w:val="0"/>
      <w:marBottom w:val="0"/>
      <w:divBdr>
        <w:top w:val="none" w:sz="0" w:space="0" w:color="auto"/>
        <w:left w:val="none" w:sz="0" w:space="0" w:color="auto"/>
        <w:bottom w:val="none" w:sz="0" w:space="0" w:color="auto"/>
        <w:right w:val="none" w:sz="0" w:space="0" w:color="auto"/>
      </w:divBdr>
    </w:div>
    <w:div w:id="474493314">
      <w:bodyDiv w:val="1"/>
      <w:marLeft w:val="0"/>
      <w:marRight w:val="0"/>
      <w:marTop w:val="0"/>
      <w:marBottom w:val="0"/>
      <w:divBdr>
        <w:top w:val="none" w:sz="0" w:space="0" w:color="auto"/>
        <w:left w:val="none" w:sz="0" w:space="0" w:color="auto"/>
        <w:bottom w:val="none" w:sz="0" w:space="0" w:color="auto"/>
        <w:right w:val="none" w:sz="0" w:space="0" w:color="auto"/>
      </w:divBdr>
    </w:div>
    <w:div w:id="770049464">
      <w:bodyDiv w:val="1"/>
      <w:marLeft w:val="0"/>
      <w:marRight w:val="0"/>
      <w:marTop w:val="0"/>
      <w:marBottom w:val="0"/>
      <w:divBdr>
        <w:top w:val="none" w:sz="0" w:space="0" w:color="auto"/>
        <w:left w:val="none" w:sz="0" w:space="0" w:color="auto"/>
        <w:bottom w:val="none" w:sz="0" w:space="0" w:color="auto"/>
        <w:right w:val="none" w:sz="0" w:space="0" w:color="auto"/>
      </w:divBdr>
    </w:div>
    <w:div w:id="819152564">
      <w:bodyDiv w:val="1"/>
      <w:marLeft w:val="0"/>
      <w:marRight w:val="0"/>
      <w:marTop w:val="0"/>
      <w:marBottom w:val="0"/>
      <w:divBdr>
        <w:top w:val="none" w:sz="0" w:space="0" w:color="auto"/>
        <w:left w:val="none" w:sz="0" w:space="0" w:color="auto"/>
        <w:bottom w:val="none" w:sz="0" w:space="0" w:color="auto"/>
        <w:right w:val="none" w:sz="0" w:space="0" w:color="auto"/>
      </w:divBdr>
    </w:div>
    <w:div w:id="866524561">
      <w:bodyDiv w:val="1"/>
      <w:marLeft w:val="0"/>
      <w:marRight w:val="0"/>
      <w:marTop w:val="0"/>
      <w:marBottom w:val="0"/>
      <w:divBdr>
        <w:top w:val="none" w:sz="0" w:space="0" w:color="auto"/>
        <w:left w:val="none" w:sz="0" w:space="0" w:color="auto"/>
        <w:bottom w:val="none" w:sz="0" w:space="0" w:color="auto"/>
        <w:right w:val="none" w:sz="0" w:space="0" w:color="auto"/>
      </w:divBdr>
    </w:div>
    <w:div w:id="868223628">
      <w:bodyDiv w:val="1"/>
      <w:marLeft w:val="0"/>
      <w:marRight w:val="0"/>
      <w:marTop w:val="0"/>
      <w:marBottom w:val="0"/>
      <w:divBdr>
        <w:top w:val="none" w:sz="0" w:space="0" w:color="auto"/>
        <w:left w:val="none" w:sz="0" w:space="0" w:color="auto"/>
        <w:bottom w:val="none" w:sz="0" w:space="0" w:color="auto"/>
        <w:right w:val="none" w:sz="0" w:space="0" w:color="auto"/>
      </w:divBdr>
    </w:div>
    <w:div w:id="906914082">
      <w:bodyDiv w:val="1"/>
      <w:marLeft w:val="0"/>
      <w:marRight w:val="0"/>
      <w:marTop w:val="0"/>
      <w:marBottom w:val="0"/>
      <w:divBdr>
        <w:top w:val="none" w:sz="0" w:space="0" w:color="auto"/>
        <w:left w:val="none" w:sz="0" w:space="0" w:color="auto"/>
        <w:bottom w:val="none" w:sz="0" w:space="0" w:color="auto"/>
        <w:right w:val="none" w:sz="0" w:space="0" w:color="auto"/>
      </w:divBdr>
    </w:div>
    <w:div w:id="1201480782">
      <w:bodyDiv w:val="1"/>
      <w:marLeft w:val="0"/>
      <w:marRight w:val="0"/>
      <w:marTop w:val="0"/>
      <w:marBottom w:val="0"/>
      <w:divBdr>
        <w:top w:val="none" w:sz="0" w:space="0" w:color="auto"/>
        <w:left w:val="none" w:sz="0" w:space="0" w:color="auto"/>
        <w:bottom w:val="none" w:sz="0" w:space="0" w:color="auto"/>
        <w:right w:val="none" w:sz="0" w:space="0" w:color="auto"/>
      </w:divBdr>
    </w:div>
    <w:div w:id="1202324488">
      <w:bodyDiv w:val="1"/>
      <w:marLeft w:val="0"/>
      <w:marRight w:val="0"/>
      <w:marTop w:val="0"/>
      <w:marBottom w:val="0"/>
      <w:divBdr>
        <w:top w:val="none" w:sz="0" w:space="0" w:color="auto"/>
        <w:left w:val="none" w:sz="0" w:space="0" w:color="auto"/>
        <w:bottom w:val="none" w:sz="0" w:space="0" w:color="auto"/>
        <w:right w:val="none" w:sz="0" w:space="0" w:color="auto"/>
      </w:divBdr>
    </w:div>
    <w:div w:id="1246962754">
      <w:bodyDiv w:val="1"/>
      <w:marLeft w:val="0"/>
      <w:marRight w:val="0"/>
      <w:marTop w:val="0"/>
      <w:marBottom w:val="0"/>
      <w:divBdr>
        <w:top w:val="none" w:sz="0" w:space="0" w:color="auto"/>
        <w:left w:val="none" w:sz="0" w:space="0" w:color="auto"/>
        <w:bottom w:val="none" w:sz="0" w:space="0" w:color="auto"/>
        <w:right w:val="none" w:sz="0" w:space="0" w:color="auto"/>
      </w:divBdr>
    </w:div>
    <w:div w:id="1250776223">
      <w:bodyDiv w:val="1"/>
      <w:marLeft w:val="0"/>
      <w:marRight w:val="0"/>
      <w:marTop w:val="0"/>
      <w:marBottom w:val="0"/>
      <w:divBdr>
        <w:top w:val="none" w:sz="0" w:space="0" w:color="auto"/>
        <w:left w:val="none" w:sz="0" w:space="0" w:color="auto"/>
        <w:bottom w:val="none" w:sz="0" w:space="0" w:color="auto"/>
        <w:right w:val="none" w:sz="0" w:space="0" w:color="auto"/>
      </w:divBdr>
    </w:div>
    <w:div w:id="1270700626">
      <w:bodyDiv w:val="1"/>
      <w:marLeft w:val="0"/>
      <w:marRight w:val="0"/>
      <w:marTop w:val="0"/>
      <w:marBottom w:val="0"/>
      <w:divBdr>
        <w:top w:val="none" w:sz="0" w:space="0" w:color="auto"/>
        <w:left w:val="none" w:sz="0" w:space="0" w:color="auto"/>
        <w:bottom w:val="none" w:sz="0" w:space="0" w:color="auto"/>
        <w:right w:val="none" w:sz="0" w:space="0" w:color="auto"/>
      </w:divBdr>
    </w:div>
    <w:div w:id="1532496080">
      <w:bodyDiv w:val="1"/>
      <w:marLeft w:val="0"/>
      <w:marRight w:val="0"/>
      <w:marTop w:val="0"/>
      <w:marBottom w:val="0"/>
      <w:divBdr>
        <w:top w:val="none" w:sz="0" w:space="0" w:color="auto"/>
        <w:left w:val="none" w:sz="0" w:space="0" w:color="auto"/>
        <w:bottom w:val="none" w:sz="0" w:space="0" w:color="auto"/>
        <w:right w:val="none" w:sz="0" w:space="0" w:color="auto"/>
      </w:divBdr>
    </w:div>
    <w:div w:id="1599483679">
      <w:bodyDiv w:val="1"/>
      <w:marLeft w:val="0"/>
      <w:marRight w:val="0"/>
      <w:marTop w:val="0"/>
      <w:marBottom w:val="0"/>
      <w:divBdr>
        <w:top w:val="none" w:sz="0" w:space="0" w:color="auto"/>
        <w:left w:val="none" w:sz="0" w:space="0" w:color="auto"/>
        <w:bottom w:val="none" w:sz="0" w:space="0" w:color="auto"/>
        <w:right w:val="none" w:sz="0" w:space="0" w:color="auto"/>
      </w:divBdr>
    </w:div>
    <w:div w:id="1635404275">
      <w:bodyDiv w:val="1"/>
      <w:marLeft w:val="0"/>
      <w:marRight w:val="0"/>
      <w:marTop w:val="0"/>
      <w:marBottom w:val="0"/>
      <w:divBdr>
        <w:top w:val="none" w:sz="0" w:space="0" w:color="auto"/>
        <w:left w:val="none" w:sz="0" w:space="0" w:color="auto"/>
        <w:bottom w:val="none" w:sz="0" w:space="0" w:color="auto"/>
        <w:right w:val="none" w:sz="0" w:space="0" w:color="auto"/>
      </w:divBdr>
    </w:div>
    <w:div w:id="1644233692">
      <w:bodyDiv w:val="1"/>
      <w:marLeft w:val="0"/>
      <w:marRight w:val="0"/>
      <w:marTop w:val="0"/>
      <w:marBottom w:val="0"/>
      <w:divBdr>
        <w:top w:val="none" w:sz="0" w:space="0" w:color="auto"/>
        <w:left w:val="none" w:sz="0" w:space="0" w:color="auto"/>
        <w:bottom w:val="none" w:sz="0" w:space="0" w:color="auto"/>
        <w:right w:val="none" w:sz="0" w:space="0" w:color="auto"/>
      </w:divBdr>
    </w:div>
    <w:div w:id="1661734809">
      <w:bodyDiv w:val="1"/>
      <w:marLeft w:val="0"/>
      <w:marRight w:val="0"/>
      <w:marTop w:val="0"/>
      <w:marBottom w:val="0"/>
      <w:divBdr>
        <w:top w:val="none" w:sz="0" w:space="0" w:color="auto"/>
        <w:left w:val="none" w:sz="0" w:space="0" w:color="auto"/>
        <w:bottom w:val="none" w:sz="0" w:space="0" w:color="auto"/>
        <w:right w:val="none" w:sz="0" w:space="0" w:color="auto"/>
      </w:divBdr>
    </w:div>
    <w:div w:id="1677879202">
      <w:bodyDiv w:val="1"/>
      <w:marLeft w:val="0"/>
      <w:marRight w:val="0"/>
      <w:marTop w:val="0"/>
      <w:marBottom w:val="0"/>
      <w:divBdr>
        <w:top w:val="none" w:sz="0" w:space="0" w:color="auto"/>
        <w:left w:val="none" w:sz="0" w:space="0" w:color="auto"/>
        <w:bottom w:val="none" w:sz="0" w:space="0" w:color="auto"/>
        <w:right w:val="none" w:sz="0" w:space="0" w:color="auto"/>
      </w:divBdr>
    </w:div>
    <w:div w:id="1712537696">
      <w:bodyDiv w:val="1"/>
      <w:marLeft w:val="0"/>
      <w:marRight w:val="0"/>
      <w:marTop w:val="0"/>
      <w:marBottom w:val="0"/>
      <w:divBdr>
        <w:top w:val="none" w:sz="0" w:space="0" w:color="auto"/>
        <w:left w:val="none" w:sz="0" w:space="0" w:color="auto"/>
        <w:bottom w:val="none" w:sz="0" w:space="0" w:color="auto"/>
        <w:right w:val="none" w:sz="0" w:space="0" w:color="auto"/>
      </w:divBdr>
    </w:div>
    <w:div w:id="1739746619">
      <w:bodyDiv w:val="1"/>
      <w:marLeft w:val="0"/>
      <w:marRight w:val="0"/>
      <w:marTop w:val="0"/>
      <w:marBottom w:val="0"/>
      <w:divBdr>
        <w:top w:val="none" w:sz="0" w:space="0" w:color="auto"/>
        <w:left w:val="none" w:sz="0" w:space="0" w:color="auto"/>
        <w:bottom w:val="none" w:sz="0" w:space="0" w:color="auto"/>
        <w:right w:val="none" w:sz="0" w:space="0" w:color="auto"/>
      </w:divBdr>
    </w:div>
    <w:div w:id="1747802166">
      <w:bodyDiv w:val="1"/>
      <w:marLeft w:val="0"/>
      <w:marRight w:val="0"/>
      <w:marTop w:val="0"/>
      <w:marBottom w:val="0"/>
      <w:divBdr>
        <w:top w:val="none" w:sz="0" w:space="0" w:color="auto"/>
        <w:left w:val="none" w:sz="0" w:space="0" w:color="auto"/>
        <w:bottom w:val="none" w:sz="0" w:space="0" w:color="auto"/>
        <w:right w:val="none" w:sz="0" w:space="0" w:color="auto"/>
      </w:divBdr>
    </w:div>
    <w:div w:id="1910967261">
      <w:bodyDiv w:val="1"/>
      <w:marLeft w:val="0"/>
      <w:marRight w:val="0"/>
      <w:marTop w:val="0"/>
      <w:marBottom w:val="0"/>
      <w:divBdr>
        <w:top w:val="none" w:sz="0" w:space="0" w:color="auto"/>
        <w:left w:val="none" w:sz="0" w:space="0" w:color="auto"/>
        <w:bottom w:val="none" w:sz="0" w:space="0" w:color="auto"/>
        <w:right w:val="none" w:sz="0" w:space="0" w:color="auto"/>
      </w:divBdr>
    </w:div>
    <w:div w:id="1914047757">
      <w:bodyDiv w:val="1"/>
      <w:marLeft w:val="0"/>
      <w:marRight w:val="0"/>
      <w:marTop w:val="0"/>
      <w:marBottom w:val="0"/>
      <w:divBdr>
        <w:top w:val="none" w:sz="0" w:space="0" w:color="auto"/>
        <w:left w:val="none" w:sz="0" w:space="0" w:color="auto"/>
        <w:bottom w:val="none" w:sz="0" w:space="0" w:color="auto"/>
        <w:right w:val="none" w:sz="0" w:space="0" w:color="auto"/>
      </w:divBdr>
    </w:div>
    <w:div w:id="1919291578">
      <w:bodyDiv w:val="1"/>
      <w:marLeft w:val="0"/>
      <w:marRight w:val="0"/>
      <w:marTop w:val="0"/>
      <w:marBottom w:val="0"/>
      <w:divBdr>
        <w:top w:val="none" w:sz="0" w:space="0" w:color="auto"/>
        <w:left w:val="none" w:sz="0" w:space="0" w:color="auto"/>
        <w:bottom w:val="none" w:sz="0" w:space="0" w:color="auto"/>
        <w:right w:val="none" w:sz="0" w:space="0" w:color="auto"/>
      </w:divBdr>
    </w:div>
    <w:div w:id="1927809055">
      <w:bodyDiv w:val="1"/>
      <w:marLeft w:val="0"/>
      <w:marRight w:val="0"/>
      <w:marTop w:val="0"/>
      <w:marBottom w:val="0"/>
      <w:divBdr>
        <w:top w:val="none" w:sz="0" w:space="0" w:color="auto"/>
        <w:left w:val="none" w:sz="0" w:space="0" w:color="auto"/>
        <w:bottom w:val="none" w:sz="0" w:space="0" w:color="auto"/>
        <w:right w:val="none" w:sz="0" w:space="0" w:color="auto"/>
      </w:divBdr>
    </w:div>
    <w:div w:id="1992904527">
      <w:bodyDiv w:val="1"/>
      <w:marLeft w:val="0"/>
      <w:marRight w:val="0"/>
      <w:marTop w:val="0"/>
      <w:marBottom w:val="0"/>
      <w:divBdr>
        <w:top w:val="none" w:sz="0" w:space="0" w:color="auto"/>
        <w:left w:val="none" w:sz="0" w:space="0" w:color="auto"/>
        <w:bottom w:val="none" w:sz="0" w:space="0" w:color="auto"/>
        <w:right w:val="none" w:sz="0" w:space="0" w:color="auto"/>
      </w:divBdr>
    </w:div>
    <w:div w:id="20684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vestnova.info" TargetMode="External"/><Relationship Id="rId13" Type="http://schemas.openxmlformats.org/officeDocument/2006/relationships/hyperlink" Target="mailto:info@crhov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berz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nova.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berza.com/Pages/SecurityList.aspx?sh=LAZAREVI%c4%86+DU%c5%a0AN" TargetMode="External"/><Relationship Id="rId4" Type="http://schemas.openxmlformats.org/officeDocument/2006/relationships/settings" Target="settings.xml"/><Relationship Id="rId9" Type="http://schemas.openxmlformats.org/officeDocument/2006/relationships/hyperlink" Target="http://www.blberza.com/Pages/SecurityList.aspx?sh=OTVORENI+INVESTICIONI+FOND+MONETA-U+POSTUPKU+TRA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0B29-6907-40E8-B9DF-DDD62A59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16232</Words>
  <Characters>92523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211</cp:revision>
  <cp:lastPrinted>2016-06-27T16:02:00Z</cp:lastPrinted>
  <dcterms:created xsi:type="dcterms:W3CDTF">2017-07-24T12:45:00Z</dcterms:created>
  <dcterms:modified xsi:type="dcterms:W3CDTF">2017-08-21T06:22:00Z</dcterms:modified>
</cp:coreProperties>
</file>