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7" w:rsidRDefault="00400827" w:rsidP="00A358F3">
      <w:pPr>
        <w:rPr>
          <w:lang w:val="pl-PL"/>
        </w:rPr>
      </w:pPr>
      <w:r>
        <w:rPr>
          <w:lang w:val="pl-PL"/>
        </w:rPr>
        <w:t xml:space="preserve">Društvo za upravljanje </w:t>
      </w:r>
    </w:p>
    <w:p w:rsidR="00400827" w:rsidRDefault="00400827" w:rsidP="00A358F3">
      <w:pPr>
        <w:rPr>
          <w:lang w:val="pl-PL"/>
        </w:rPr>
      </w:pPr>
      <w:r>
        <w:rPr>
          <w:lang w:val="pl-PL"/>
        </w:rPr>
        <w:t>investicionim fondovima</w:t>
      </w:r>
      <w:r w:rsidR="00A358F3">
        <w:rPr>
          <w:lang w:val="pl-PL"/>
        </w:rPr>
        <w:t xml:space="preserve"> </w:t>
      </w:r>
    </w:p>
    <w:p w:rsidR="00400827" w:rsidRDefault="00A358F3" w:rsidP="00A358F3">
      <w:pPr>
        <w:rPr>
          <w:lang w:val="pl-PL"/>
        </w:rPr>
      </w:pPr>
      <w:r>
        <w:rPr>
          <w:lang w:val="pl-PL"/>
        </w:rPr>
        <w:t>„</w:t>
      </w:r>
      <w:r w:rsidR="00400827">
        <w:rPr>
          <w:lang w:val="pl-PL"/>
        </w:rPr>
        <w:t>I</w:t>
      </w:r>
      <w:r>
        <w:rPr>
          <w:lang w:val="pl-PL"/>
        </w:rPr>
        <w:t xml:space="preserve">nvest </w:t>
      </w:r>
      <w:r w:rsidR="00400827">
        <w:rPr>
          <w:lang w:val="pl-PL"/>
        </w:rPr>
        <w:t>nova</w:t>
      </w:r>
      <w:r>
        <w:rPr>
          <w:lang w:val="pl-PL"/>
        </w:rPr>
        <w:t xml:space="preserve">” a.d. Bijeljina                                                    </w:t>
      </w:r>
    </w:p>
    <w:p w:rsidR="00A358F3" w:rsidRDefault="001E605A" w:rsidP="00A358F3">
      <w:pPr>
        <w:rPr>
          <w:lang w:val="pl-PL"/>
        </w:rPr>
      </w:pPr>
      <w:r>
        <w:rPr>
          <w:lang w:val="pl-PL"/>
        </w:rPr>
        <w:t>Broj: UO</w:t>
      </w:r>
      <w:r w:rsidR="0027545D">
        <w:rPr>
          <w:lang w:val="pl-PL"/>
        </w:rPr>
        <w:t>-</w:t>
      </w:r>
      <w:r w:rsidR="00C52D0B">
        <w:rPr>
          <w:lang w:val="pl-PL"/>
        </w:rPr>
        <w:t>V-05/2015</w:t>
      </w:r>
    </w:p>
    <w:p w:rsidR="00A358F3" w:rsidRDefault="00C52D0B" w:rsidP="00A358F3">
      <w:pPr>
        <w:rPr>
          <w:lang w:val="pl-PL"/>
        </w:rPr>
      </w:pPr>
      <w:r>
        <w:rPr>
          <w:lang w:val="pl-PL"/>
        </w:rPr>
        <w:t>Bijeljina, 31</w:t>
      </w:r>
      <w:r w:rsidR="00B656F8">
        <w:rPr>
          <w:lang w:val="pl-PL"/>
        </w:rPr>
        <w:t>.03.</w:t>
      </w:r>
      <w:r w:rsidR="00156398">
        <w:rPr>
          <w:lang w:val="pl-PL"/>
        </w:rPr>
        <w:t>201</w:t>
      </w:r>
      <w:r w:rsidR="008624ED">
        <w:rPr>
          <w:lang w:val="pl-PL"/>
        </w:rPr>
        <w:t>5</w:t>
      </w:r>
      <w:r w:rsidR="00A358F3">
        <w:rPr>
          <w:lang w:val="pl-PL"/>
        </w:rPr>
        <w:t>. godine</w:t>
      </w:r>
    </w:p>
    <w:p w:rsidR="00A358F3" w:rsidRDefault="00A358F3" w:rsidP="00A358F3">
      <w:pPr>
        <w:rPr>
          <w:lang w:val="pl-PL"/>
        </w:rPr>
      </w:pPr>
    </w:p>
    <w:p w:rsidR="00400827" w:rsidRDefault="00400827" w:rsidP="00400827">
      <w:pPr>
        <w:pStyle w:val="BodyText"/>
      </w:pPr>
      <w:r>
        <w:t>Na sjednici Upravnog odbora Društva za upravljanje investicionim fondovima “Invest nova”</w:t>
      </w:r>
      <w:r w:rsidR="001E4F1A">
        <w:t xml:space="preserve"> a.d. Bijeljina, održanoj </w:t>
      </w:r>
      <w:proofErr w:type="gramStart"/>
      <w:r w:rsidR="001E4F1A">
        <w:t>dana</w:t>
      </w:r>
      <w:proofErr w:type="gramEnd"/>
      <w:r w:rsidR="001E4F1A">
        <w:t xml:space="preserve"> 31.03.</w:t>
      </w:r>
      <w:r>
        <w:t>201</w:t>
      </w:r>
      <w:r w:rsidR="008624ED">
        <w:t>5</w:t>
      </w:r>
      <w:r>
        <w:t xml:space="preserve">. </w:t>
      </w:r>
      <w:proofErr w:type="gramStart"/>
      <w:r>
        <w:t>godine</w:t>
      </w:r>
      <w:proofErr w:type="gramEnd"/>
      <w:r>
        <w:t xml:space="preserve">, utvrđen je prijedlog </w:t>
      </w:r>
    </w:p>
    <w:p w:rsidR="000C3C73" w:rsidRPr="00C52D0B" w:rsidRDefault="00156398" w:rsidP="00C52D0B">
      <w:pPr>
        <w:rPr>
          <w:lang w:val="pl-PL"/>
        </w:rPr>
      </w:pPr>
      <w:r>
        <w:rPr>
          <w:lang w:val="pl-PL"/>
        </w:rPr>
        <w:t xml:space="preserve"> 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IZVJEŠTAJ</w:t>
      </w:r>
      <w:r w:rsidR="00400827">
        <w:rPr>
          <w:lang w:val="sl-SI"/>
        </w:rPr>
        <w:t>A</w:t>
      </w:r>
      <w:r>
        <w:rPr>
          <w:lang w:val="sl-SI"/>
        </w:rPr>
        <w:t xml:space="preserve"> O POSLOVANJU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Zatvorenog investicionog fonda sa javnom ponudom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»UNIOIN</w:t>
      </w:r>
      <w:r w:rsidR="00671160">
        <w:rPr>
          <w:lang w:val="sl-SI"/>
        </w:rPr>
        <w:t>VEST FOND« a.d. Bijeljina u 201</w:t>
      </w:r>
      <w:r w:rsidR="008624ED">
        <w:rPr>
          <w:lang w:val="sl-SI"/>
        </w:rPr>
        <w:t>4</w:t>
      </w:r>
      <w:r w:rsidR="00AD3073">
        <w:rPr>
          <w:lang w:val="sl-SI"/>
        </w:rPr>
        <w:t>. godini</w:t>
      </w:r>
    </w:p>
    <w:p w:rsidR="000C3C73" w:rsidRDefault="000C3C73">
      <w:pPr>
        <w:jc w:val="center"/>
        <w:rPr>
          <w:lang w:val="sl-SI"/>
        </w:rPr>
      </w:pPr>
    </w:p>
    <w:p w:rsidR="000C3C73" w:rsidRDefault="000C3C73" w:rsidP="00EB532A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UVOD</w:t>
      </w:r>
    </w:p>
    <w:p w:rsidR="00C249B2" w:rsidRDefault="00C249B2" w:rsidP="00EB532A">
      <w:pPr>
        <w:ind w:left="1080"/>
        <w:jc w:val="both"/>
        <w:rPr>
          <w:lang w:val="sl-SI"/>
        </w:rPr>
      </w:pPr>
    </w:p>
    <w:p w:rsidR="000C3C73" w:rsidRPr="00C249B2" w:rsidRDefault="000C3C73" w:rsidP="00EB532A">
      <w:pPr>
        <w:ind w:left="720"/>
        <w:jc w:val="both"/>
        <w:rPr>
          <w:b/>
          <w:i/>
          <w:lang w:val="sl-SI"/>
        </w:rPr>
      </w:pPr>
      <w:r w:rsidRPr="00C249B2">
        <w:rPr>
          <w:b/>
          <w:i/>
          <w:lang w:val="sl-SI"/>
        </w:rPr>
        <w:t>1.1. Osnovne informacije o fondu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 xml:space="preserve">Zatvoreni investicioni fond sa javnom ponudom »Unioinvest fond« a.d. Bijeljina je osnovan </w:t>
      </w:r>
      <w:r w:rsidR="00197B69">
        <w:rPr>
          <w:lang w:val="sl-SI"/>
        </w:rPr>
        <w:t xml:space="preserve">na skupštini akcionara dana </w:t>
      </w:r>
      <w:r w:rsidR="00EB532A">
        <w:rPr>
          <w:lang w:val="sl-SI"/>
        </w:rPr>
        <w:t>0</w:t>
      </w:r>
      <w:r w:rsidR="00197B69">
        <w:rPr>
          <w:lang w:val="sl-SI"/>
        </w:rPr>
        <w:t>6.12.2007. godine</w:t>
      </w:r>
      <w:r w:rsidR="001E4F1A">
        <w:rPr>
          <w:lang w:val="sl-SI"/>
        </w:rPr>
        <w:t>,</w:t>
      </w:r>
      <w:r w:rsidR="00197B69">
        <w:rPr>
          <w:lang w:val="sl-SI"/>
        </w:rPr>
        <w:t xml:space="preserve"> </w:t>
      </w:r>
      <w:r>
        <w:rPr>
          <w:lang w:val="sl-SI"/>
        </w:rPr>
        <w:t>Odlukom o osnivanju zatvorenog investicionog fonda sa javnom ponudom</w:t>
      </w:r>
      <w:r w:rsidR="001E4F1A">
        <w:rPr>
          <w:lang w:val="sl-SI"/>
        </w:rPr>
        <w:t>,</w:t>
      </w:r>
      <w:r>
        <w:rPr>
          <w:lang w:val="sl-SI"/>
        </w:rPr>
        <w:t xml:space="preserve"> broj: SK-I-02/2007, na sjednici akci</w:t>
      </w:r>
      <w:r w:rsidR="00197B69">
        <w:rPr>
          <w:lang w:val="sl-SI"/>
        </w:rPr>
        <w:t>onara fonda.</w:t>
      </w:r>
    </w:p>
    <w:p w:rsidR="000C3C73" w:rsidRDefault="008E4A47" w:rsidP="00EB532A">
      <w:pPr>
        <w:jc w:val="both"/>
        <w:rPr>
          <w:lang w:val="sl-SI"/>
        </w:rPr>
      </w:pPr>
      <w:r>
        <w:rPr>
          <w:lang w:val="sl-SI"/>
        </w:rPr>
        <w:t xml:space="preserve">Ovaj fond </w:t>
      </w:r>
      <w:r w:rsidR="000C3C73">
        <w:rPr>
          <w:lang w:val="sl-SI"/>
        </w:rPr>
        <w:t xml:space="preserve"> </w:t>
      </w:r>
      <w:r w:rsidR="00B656F8">
        <w:rPr>
          <w:lang w:val="sl-SI"/>
        </w:rPr>
        <w:t>nije nastao u postupku privatizacije, obzirom da je</w:t>
      </w:r>
      <w:r w:rsidR="000C3C73">
        <w:rPr>
          <w:lang w:val="sl-SI"/>
        </w:rPr>
        <w:t xml:space="preserve"> osnovan nakon što je završena transformacija privatizacionih fondova u zatv</w:t>
      </w:r>
      <w:r>
        <w:rPr>
          <w:lang w:val="sl-SI"/>
        </w:rPr>
        <w:t xml:space="preserve">orene investicione fondove. </w:t>
      </w:r>
    </w:p>
    <w:p w:rsidR="000C3C73" w:rsidRDefault="007E686A" w:rsidP="00EB532A">
      <w:pPr>
        <w:jc w:val="both"/>
        <w:rPr>
          <w:lang w:val="sl-SI"/>
        </w:rPr>
      </w:pPr>
      <w:r>
        <w:rPr>
          <w:lang w:val="sl-SI"/>
        </w:rPr>
        <w:t>Registracija fonda je  izvršena</w:t>
      </w:r>
      <w:r w:rsidR="000C3C73">
        <w:rPr>
          <w:lang w:val="sl-SI"/>
        </w:rPr>
        <w:t xml:space="preserve"> kod Osnovnog suda u Bijeljini, Rešenjem broj. 080-0-</w:t>
      </w:r>
      <w:r w:rsidR="00EB532A">
        <w:rPr>
          <w:lang w:val="sl-SI"/>
        </w:rPr>
        <w:t>R</w:t>
      </w:r>
      <w:r w:rsidR="000C3C73">
        <w:rPr>
          <w:lang w:val="sl-SI"/>
        </w:rPr>
        <w:t xml:space="preserve">eg-7-000 806, upisom u registarski uložak br. 1-6338, dana 13.12.2007. godine </w:t>
      </w:r>
    </w:p>
    <w:p w:rsidR="000C3C73" w:rsidRDefault="000C3C73">
      <w:pPr>
        <w:rPr>
          <w:lang w:val="sl-SI"/>
        </w:rPr>
      </w:pP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Organi fonda:</w:t>
      </w:r>
    </w:p>
    <w:p w:rsidR="000C3C73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skupština akcionara </w:t>
      </w:r>
      <w:r w:rsidR="000C3C73">
        <w:rPr>
          <w:lang w:val="sl-SI"/>
        </w:rPr>
        <w:t>fonda 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nadzorni odbor fonda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Akti fonda: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Prospekt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Ugovor o upravljaju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 fonda.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Sjedište fonda je u Bijeljini, ulica Gavrila Principa br</w:t>
      </w:r>
      <w:r w:rsidR="00C249B2">
        <w:rPr>
          <w:lang w:val="sl-SI"/>
        </w:rPr>
        <w:t>oj</w:t>
      </w:r>
      <w:r>
        <w:rPr>
          <w:lang w:val="sl-SI"/>
        </w:rPr>
        <w:t xml:space="preserve"> 11</w:t>
      </w:r>
      <w:r w:rsidR="00C249B2">
        <w:rPr>
          <w:lang w:val="sl-SI"/>
        </w:rPr>
        <w:t>,</w:t>
      </w:r>
      <w:r>
        <w:rPr>
          <w:lang w:val="sl-SI"/>
        </w:rPr>
        <w:t xml:space="preserve"> Republika Srpska.</w:t>
      </w:r>
    </w:p>
    <w:p w:rsidR="000C3C73" w:rsidRDefault="000C3C73">
      <w:pPr>
        <w:rPr>
          <w:lang w:val="sl-SI"/>
        </w:rPr>
      </w:pPr>
    </w:p>
    <w:p w:rsidR="000C3C73" w:rsidRPr="00C249B2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Osnovne informacije o društvu za upravljanje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za upravljanje</w:t>
      </w:r>
      <w:r w:rsidR="008D33AF">
        <w:rPr>
          <w:lang w:val="sl-SI"/>
        </w:rPr>
        <w:t xml:space="preserve"> investicionim fondovima</w:t>
      </w:r>
      <w:r>
        <w:rPr>
          <w:lang w:val="sl-SI"/>
        </w:rPr>
        <w:t xml:space="preserve"> »Invest nova«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Bijeljina je osnovano </w:t>
      </w:r>
      <w:r w:rsidR="007E686A">
        <w:rPr>
          <w:lang w:val="sl-SI"/>
        </w:rPr>
        <w:t xml:space="preserve">u </w:t>
      </w:r>
      <w:r w:rsidR="00B656F8">
        <w:rPr>
          <w:lang w:val="sl-SI"/>
        </w:rPr>
        <w:t>svrhu formiranja i upravljanja p</w:t>
      </w:r>
      <w:r w:rsidR="007E686A">
        <w:rPr>
          <w:lang w:val="sl-SI"/>
        </w:rPr>
        <w:t>rivatizacionog investicionog fonda</w:t>
      </w:r>
      <w:r w:rsidR="00B656F8">
        <w:rPr>
          <w:lang w:val="sl-SI"/>
        </w:rPr>
        <w:t>, a nakon osnivanja privatizacionog investicionog fonda</w:t>
      </w:r>
      <w:r>
        <w:rPr>
          <w:lang w:val="sl-SI"/>
        </w:rPr>
        <w:t xml:space="preserve">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</w:t>
      </w:r>
      <w:r w:rsidR="008D33AF">
        <w:rPr>
          <w:lang w:val="sl-SI"/>
        </w:rPr>
        <w:t xml:space="preserve">jeljina, </w:t>
      </w:r>
      <w:r w:rsidR="00B656F8">
        <w:rPr>
          <w:lang w:val="sl-SI"/>
        </w:rPr>
        <w:t>društvo je započelo upravljanje ovim fondom, i njime</w:t>
      </w:r>
      <w:r w:rsidR="008D33AF">
        <w:rPr>
          <w:lang w:val="sl-SI"/>
        </w:rPr>
        <w:t xml:space="preserve"> upravlja </w:t>
      </w:r>
      <w:r w:rsidR="007020BB">
        <w:rPr>
          <w:lang w:val="sl-SI"/>
        </w:rPr>
        <w:t>od njegove registracije.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Društvo </w:t>
      </w:r>
      <w:r w:rsidR="00B656F8">
        <w:rPr>
          <w:lang w:val="sl-SI"/>
        </w:rPr>
        <w:t>je nastavilo da</w:t>
      </w:r>
      <w:r>
        <w:rPr>
          <w:lang w:val="sl-SI"/>
        </w:rPr>
        <w:t xml:space="preserve"> upravlja</w:t>
      </w:r>
      <w:r w:rsidR="000C3C73">
        <w:rPr>
          <w:lang w:val="sl-SI"/>
        </w:rPr>
        <w:t xml:space="preserve"> </w:t>
      </w:r>
      <w:r w:rsidR="008D33AF">
        <w:rPr>
          <w:lang w:val="sl-SI"/>
        </w:rPr>
        <w:t>P</w:t>
      </w:r>
      <w:r w:rsidR="000C3C73">
        <w:rPr>
          <w:lang w:val="sl-SI"/>
        </w:rPr>
        <w:t>rivatizacionim investicionim fondom »Invest nova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0C3C73">
        <w:rPr>
          <w:lang w:val="sl-SI"/>
        </w:rPr>
        <w:t xml:space="preserve"> Bijeljina</w:t>
      </w:r>
      <w:r w:rsidR="008D33AF">
        <w:rPr>
          <w:lang w:val="sl-SI"/>
        </w:rPr>
        <w:t xml:space="preserve"> i nakon njegove transformacije u Z</w:t>
      </w:r>
      <w:r>
        <w:rPr>
          <w:lang w:val="sl-SI"/>
        </w:rPr>
        <w:t>atvoreni investicioni fond</w:t>
      </w:r>
      <w:r w:rsidR="000C3C73">
        <w:rPr>
          <w:lang w:val="sl-SI"/>
        </w:rPr>
        <w:t xml:space="preserve"> sa javnom</w:t>
      </w:r>
      <w:r>
        <w:rPr>
          <w:lang w:val="sl-SI"/>
        </w:rPr>
        <w:t xml:space="preserve"> ponudom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</w:t>
      </w:r>
      <w:r w:rsidR="000C3C73">
        <w:rPr>
          <w:lang w:val="sl-SI"/>
        </w:rPr>
        <w:t>ijeljina.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Pored upravljanja ovim fondom, </w:t>
      </w:r>
      <w:r w:rsidR="008D33AF">
        <w:rPr>
          <w:lang w:val="sl-SI"/>
        </w:rPr>
        <w:t xml:space="preserve">društvo istovremeno upravlja i Zatvorenim investicionim fondom </w:t>
      </w:r>
      <w:r w:rsidR="000C3C73">
        <w:rPr>
          <w:lang w:val="sl-SI"/>
        </w:rPr>
        <w:t>sa javnom ponudom »Unioinvest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B656F8">
        <w:rPr>
          <w:lang w:val="sl-SI"/>
        </w:rPr>
        <w:t xml:space="preserve"> Bijeljina</w:t>
      </w:r>
      <w:r w:rsidR="000C3C73">
        <w:rPr>
          <w:lang w:val="sl-SI"/>
        </w:rPr>
        <w:t xml:space="preserve"> od</w:t>
      </w:r>
      <w:r w:rsidR="00B656F8">
        <w:rPr>
          <w:lang w:val="sl-SI"/>
        </w:rPr>
        <w:t xml:space="preserve"> njegovog osnivanja.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je registrovano kod Osnovnog suda u Bijeljini, Rešenjem broj</w:t>
      </w:r>
      <w:r w:rsidR="008D33AF">
        <w:rPr>
          <w:lang w:val="sl-SI"/>
        </w:rPr>
        <w:t>:</w:t>
      </w:r>
      <w:r>
        <w:rPr>
          <w:lang w:val="sl-SI"/>
        </w:rPr>
        <w:t xml:space="preserve"> FI-767/2000, i upisano</w:t>
      </w:r>
      <w:r w:rsidR="007020BB">
        <w:rPr>
          <w:lang w:val="sl-SI"/>
        </w:rPr>
        <w:t xml:space="preserve"> je</w:t>
      </w:r>
      <w:r>
        <w:rPr>
          <w:lang w:val="sl-SI"/>
        </w:rPr>
        <w:t xml:space="preserve"> u registarski uložak broj: 1-4978, dana  </w:t>
      </w:r>
      <w:r w:rsidR="008D33AF">
        <w:rPr>
          <w:lang w:val="sl-SI"/>
        </w:rPr>
        <w:t>0</w:t>
      </w:r>
      <w:r>
        <w:rPr>
          <w:lang w:val="sl-SI"/>
        </w:rPr>
        <w:t>1.09.2000. godine.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lastRenderedPageBreak/>
        <w:t>Transformacija društva za upravljanje privatizacionim fondo</w:t>
      </w:r>
      <w:r w:rsidR="008D33AF">
        <w:rPr>
          <w:lang w:val="sl-SI"/>
        </w:rPr>
        <w:t>m</w:t>
      </w:r>
      <w:r>
        <w:rPr>
          <w:lang w:val="sl-SI"/>
        </w:rPr>
        <w:t xml:space="preserve"> u društvo za upravljanje investicionim fondovima je izvršena </w:t>
      </w:r>
      <w:r w:rsidR="00B656F8">
        <w:rPr>
          <w:lang w:val="sl-SI"/>
        </w:rPr>
        <w:t>na skupštini akcionara društva koja je održana tokom 2007. godine</w:t>
      </w:r>
      <w:r>
        <w:rPr>
          <w:lang w:val="sl-SI"/>
        </w:rPr>
        <w:t>, a na odluku skupštine o transformaciji društva, saglasnost je dala Komisija za hartije od vrednosti Republike Srpske</w:t>
      </w:r>
      <w:r w:rsidR="008D33AF">
        <w:rPr>
          <w:lang w:val="sl-SI"/>
        </w:rPr>
        <w:t>,</w:t>
      </w:r>
      <w:r>
        <w:rPr>
          <w:lang w:val="sl-SI"/>
        </w:rPr>
        <w:t xml:space="preserve"> Banja Luka broj: 04-UP-041-1215/07, dana </w:t>
      </w:r>
      <w:r w:rsidR="008D33AF">
        <w:rPr>
          <w:lang w:val="sl-SI"/>
        </w:rPr>
        <w:t>0</w:t>
      </w:r>
      <w:r>
        <w:rPr>
          <w:lang w:val="sl-SI"/>
        </w:rPr>
        <w:t>5.04.2007. godine</w:t>
      </w:r>
      <w:r w:rsidR="008D33AF">
        <w:rPr>
          <w:lang w:val="sl-SI"/>
        </w:rPr>
        <w:t xml:space="preserve"> (</w:t>
      </w:r>
      <w:r w:rsidR="007020BB">
        <w:rPr>
          <w:lang w:val="sl-SI"/>
        </w:rPr>
        <w:t>u daljem tekstu</w:t>
      </w:r>
      <w:r w:rsidR="008D33AF">
        <w:rPr>
          <w:lang w:val="sl-SI"/>
        </w:rPr>
        <w:t xml:space="preserve"> Komisija</w:t>
      </w:r>
      <w:r w:rsidR="007020BB">
        <w:rPr>
          <w:lang w:val="sl-SI"/>
        </w:rPr>
        <w:t>)</w:t>
      </w:r>
      <w:r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Osnovn</w:t>
      </w:r>
      <w:r w:rsidR="00B656F8">
        <w:rPr>
          <w:lang w:val="sl-SI"/>
        </w:rPr>
        <w:t>i kapital društva</w:t>
      </w:r>
      <w:r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Rezerve društva za upravljanje iznose 156.000,00 KM.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7020BB">
        <w:rPr>
          <w:lang w:val="sl-SI"/>
        </w:rPr>
        <w:t xml:space="preserve">simultano osnovano, i njegove akcije nisu uvrštene na </w:t>
      </w:r>
      <w:r w:rsidR="00B656F8">
        <w:rPr>
          <w:lang w:val="sl-SI"/>
        </w:rPr>
        <w:t>banjalučku berzu, tako da se njima trguje putem</w:t>
      </w:r>
      <w:r w:rsidR="007020BB">
        <w:rPr>
          <w:lang w:val="sl-SI"/>
        </w:rPr>
        <w:t xml:space="preserve"> kupoprodajnih ugovora, prenosom akcija </w:t>
      </w:r>
      <w:r w:rsidR="00B656F8">
        <w:rPr>
          <w:lang w:val="sl-SI"/>
        </w:rPr>
        <w:t xml:space="preserve">vanberzanskim nalogom </w:t>
      </w:r>
      <w:r w:rsidR="007020BB">
        <w:rPr>
          <w:lang w:val="sl-SI"/>
        </w:rPr>
        <w:t xml:space="preserve">sa prodavca na kupca </w:t>
      </w:r>
      <w:r w:rsidR="00B656F8">
        <w:rPr>
          <w:lang w:val="sl-SI"/>
        </w:rPr>
        <w:t xml:space="preserve">akcija, </w:t>
      </w:r>
      <w:r w:rsidR="007020BB">
        <w:rPr>
          <w:lang w:val="sl-SI"/>
        </w:rPr>
        <w:t>u Centralnom registru hartija od vrijednosti a</w:t>
      </w:r>
      <w:r w:rsidR="008D33AF">
        <w:rPr>
          <w:lang w:val="sl-SI"/>
        </w:rPr>
        <w:t>.</w:t>
      </w:r>
      <w:r w:rsidR="007020BB">
        <w:rPr>
          <w:lang w:val="sl-SI"/>
        </w:rPr>
        <w:t>d</w:t>
      </w:r>
      <w:r w:rsidR="008D33AF">
        <w:rPr>
          <w:lang w:val="sl-SI"/>
        </w:rPr>
        <w:t>. Banja Luka (u daljem tekstu CR HOV</w:t>
      </w:r>
      <w:r w:rsidR="007020BB">
        <w:rPr>
          <w:lang w:val="sl-SI"/>
        </w:rPr>
        <w:t xml:space="preserve">).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Organi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Skupština akcionara društva,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Upravni odbor društva i </w:t>
      </w:r>
    </w:p>
    <w:p w:rsidR="000C3C73" w:rsidRPr="00C249B2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</w:t>
      </w:r>
    </w:p>
    <w:p w:rsidR="000C3C73" w:rsidRDefault="000C3C73">
      <w:pPr>
        <w:rPr>
          <w:lang w:val="sl-SI"/>
        </w:rPr>
      </w:pPr>
      <w:r>
        <w:rPr>
          <w:lang w:val="sl-SI"/>
        </w:rPr>
        <w:t>Akti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organizaciji i sistematizaciji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sukobu interesa.</w:t>
      </w:r>
    </w:p>
    <w:p w:rsidR="000C3C73" w:rsidRDefault="000C3C73">
      <w:pPr>
        <w:rPr>
          <w:lang w:val="sl-SI"/>
        </w:rPr>
      </w:pPr>
      <w:r>
        <w:rPr>
          <w:lang w:val="sl-SI"/>
        </w:rPr>
        <w:t>Struktura zaposlenih: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društva,</w:t>
      </w:r>
    </w:p>
    <w:p w:rsidR="000C3C73" w:rsidRDefault="00C249B2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Dva investiciona menadž</w:t>
      </w:r>
      <w:r w:rsidR="000C3C73">
        <w:rPr>
          <w:lang w:val="sl-SI"/>
        </w:rPr>
        <w:t>era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Jedan diplomirani e</w:t>
      </w:r>
      <w:r w:rsidR="00B656F8">
        <w:rPr>
          <w:lang w:val="sl-SI"/>
        </w:rPr>
        <w:t>konomista</w:t>
      </w:r>
      <w:r>
        <w:rPr>
          <w:lang w:val="sl-SI"/>
        </w:rPr>
        <w:t>.</w:t>
      </w:r>
    </w:p>
    <w:p w:rsidR="000C3C73" w:rsidRDefault="00C249B2" w:rsidP="008D33AF">
      <w:pPr>
        <w:jc w:val="both"/>
        <w:rPr>
          <w:lang w:val="sl-SI"/>
        </w:rPr>
      </w:pPr>
      <w:r>
        <w:rPr>
          <w:lang w:val="sl-SI"/>
        </w:rPr>
        <w:t>Poslove k</w:t>
      </w:r>
      <w:r w:rsidR="000C3C73">
        <w:rPr>
          <w:lang w:val="sl-SI"/>
        </w:rPr>
        <w:t>njigovodstva i računovodstva društva i investicionih fon</w:t>
      </w:r>
      <w:r w:rsidR="008D33AF">
        <w:rPr>
          <w:lang w:val="sl-SI"/>
        </w:rPr>
        <w:t>dova obavlja ovlašćeni knjigovođ</w:t>
      </w:r>
      <w:r w:rsidR="000C3C73">
        <w:rPr>
          <w:lang w:val="sl-SI"/>
        </w:rPr>
        <w:t>a sa licencom,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</w:t>
      </w:r>
      <w:r w:rsidR="008D33AF">
        <w:rPr>
          <w:lang w:val="sl-SI"/>
        </w:rPr>
        <w:t>oslove vođ</w:t>
      </w:r>
      <w:r>
        <w:rPr>
          <w:lang w:val="sl-SI"/>
        </w:rPr>
        <w:t>enja i ažuriranja web strane društva obavlja jedan izvršilac,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ima 4 stalno zaposlena radnika sa VSS, od čega su 2 diplomirana ekonomista i 2 diplomirana pravnika.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pored </w:t>
      </w:r>
      <w:r w:rsidR="008D33AF">
        <w:rPr>
          <w:lang w:val="sl-SI"/>
        </w:rPr>
        <w:t>stalno zaposlenih radnika angažu</w:t>
      </w:r>
      <w:r>
        <w:rPr>
          <w:lang w:val="sl-SI"/>
        </w:rPr>
        <w:t>je i 3 radnika po ugovoru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Sjedište društva je u Bijeljini, u ulici Gavrila Principa broj 11.</w:t>
      </w:r>
    </w:p>
    <w:p w:rsidR="000C3C73" w:rsidRDefault="000C3C73">
      <w:pPr>
        <w:rPr>
          <w:lang w:val="sl-SI"/>
        </w:rPr>
      </w:pPr>
    </w:p>
    <w:p w:rsidR="000C3C73" w:rsidRPr="00C249B2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Regulatorni okvir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>
        <w:rPr>
          <w:lang w:val="sl-SI"/>
        </w:rPr>
        <w:t xml:space="preserve"> o investicionim fondovima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oj: 92/06</w:t>
      </w:r>
      <w:r>
        <w:rPr>
          <w:lang w:val="sl-SI"/>
        </w:rPr>
        <w:t>), podzakonski akti koje je donijela Komisija za hartije od vrednosti Republike Srpske,</w:t>
      </w:r>
      <w:r w:rsidR="00C249B2">
        <w:rPr>
          <w:lang w:val="sl-SI"/>
        </w:rPr>
        <w:t xml:space="preserve"> Zakon o privrednim društvima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 xml:space="preserve">oj: 127/08, </w:t>
      </w:r>
      <w:r>
        <w:rPr>
          <w:lang w:val="sl-SI"/>
        </w:rPr>
        <w:t>58/09</w:t>
      </w:r>
      <w:r w:rsidR="00C249B2">
        <w:rPr>
          <w:lang w:val="sl-SI"/>
        </w:rPr>
        <w:t>, 100/11 i 67/13</w:t>
      </w:r>
      <w:r>
        <w:rPr>
          <w:lang w:val="sl-SI"/>
        </w:rPr>
        <w:t>) i Zak</w:t>
      </w:r>
      <w:r w:rsidR="00C249B2">
        <w:rPr>
          <w:lang w:val="sl-SI"/>
        </w:rPr>
        <w:t>on o tržištu hartija od vrednosti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 92/06, 34/09, 30/12, 59/13, 108/13</w:t>
      </w:r>
      <w:r>
        <w:rPr>
          <w:lang w:val="sl-SI"/>
        </w:rPr>
        <w:t>).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lastRenderedPageBreak/>
        <w:t>POLITIKE UPRAVLJANJA IMOVINOM FONDA</w:t>
      </w:r>
    </w:p>
    <w:p w:rsidR="000C3C73" w:rsidRDefault="000C3C73">
      <w:pPr>
        <w:rPr>
          <w:lang w:val="sl-SI"/>
        </w:rPr>
      </w:pP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upravl</w:t>
      </w:r>
      <w:r w:rsidR="0080729C">
        <w:rPr>
          <w:lang w:val="sl-SI"/>
        </w:rPr>
        <w:t>ja imovinom fonda u skladu sa: Z</w:t>
      </w:r>
      <w:r>
        <w:rPr>
          <w:lang w:val="sl-SI"/>
        </w:rPr>
        <w:t>akonom</w:t>
      </w:r>
      <w:r w:rsidR="0080729C">
        <w:rPr>
          <w:lang w:val="sl-SI"/>
        </w:rPr>
        <w:t xml:space="preserve"> o upravljanju investicionim fondovima</w:t>
      </w:r>
      <w:r>
        <w:rPr>
          <w:lang w:val="sl-SI"/>
        </w:rPr>
        <w:t>, podzakonskim aktim</w:t>
      </w:r>
      <w:r w:rsidR="0080729C">
        <w:rPr>
          <w:lang w:val="sl-SI"/>
        </w:rPr>
        <w:t xml:space="preserve">a, svojim aktima </w:t>
      </w:r>
      <w:r w:rsidR="002A7955">
        <w:rPr>
          <w:lang w:val="sl-SI"/>
        </w:rPr>
        <w:t>i aktima fondova</w:t>
      </w:r>
      <w:r w:rsidR="0080729C">
        <w:rPr>
          <w:lang w:val="sl-SI"/>
        </w:rPr>
        <w:t xml:space="preserve"> </w:t>
      </w:r>
      <w:r>
        <w:rPr>
          <w:lang w:val="sl-SI"/>
        </w:rPr>
        <w:t xml:space="preserve"> kojim upravlja</w:t>
      </w:r>
      <w:r w:rsidR="002A7955">
        <w:rPr>
          <w:lang w:val="sl-SI"/>
        </w:rPr>
        <w:t xml:space="preserve">, </w:t>
      </w:r>
      <w:r w:rsidR="001E4F1A">
        <w:rPr>
          <w:lang w:val="sl-SI"/>
        </w:rPr>
        <w:t xml:space="preserve">kao i u skladu sa </w:t>
      </w:r>
      <w:r w:rsidR="002A7955">
        <w:rPr>
          <w:lang w:val="sl-SI"/>
        </w:rPr>
        <w:t xml:space="preserve"> Ugovorima</w:t>
      </w:r>
      <w:r w:rsidR="0080729C">
        <w:rPr>
          <w:lang w:val="sl-SI"/>
        </w:rPr>
        <w:t xml:space="preserve"> o </w:t>
      </w:r>
      <w:r w:rsidR="002A7955">
        <w:rPr>
          <w:lang w:val="sl-SI"/>
        </w:rPr>
        <w:t>upravljaju</w:t>
      </w:r>
      <w:r w:rsidR="001E4F1A">
        <w:rPr>
          <w:lang w:val="sl-SI"/>
        </w:rPr>
        <w:t xml:space="preserve"> fondom</w:t>
      </w:r>
      <w:r>
        <w:rPr>
          <w:lang w:val="sl-SI"/>
        </w:rPr>
        <w:t>.</w:t>
      </w:r>
    </w:p>
    <w:p w:rsidR="000C3C73" w:rsidRDefault="0080729C" w:rsidP="008D33AF">
      <w:pPr>
        <w:jc w:val="both"/>
        <w:rPr>
          <w:lang w:val="sl-SI"/>
        </w:rPr>
      </w:pPr>
      <w:r>
        <w:rPr>
          <w:lang w:val="sl-SI"/>
        </w:rPr>
        <w:t>D</w:t>
      </w:r>
      <w:r w:rsidR="000C3C73">
        <w:rPr>
          <w:lang w:val="sl-SI"/>
        </w:rPr>
        <w:t xml:space="preserve">ruštvo </w:t>
      </w:r>
      <w:r>
        <w:rPr>
          <w:lang w:val="sl-SI"/>
        </w:rPr>
        <w:t xml:space="preserve">je odgovorno za upravljanje </w:t>
      </w:r>
      <w:r w:rsidR="001E4F1A">
        <w:rPr>
          <w:lang w:val="sl-SI"/>
        </w:rPr>
        <w:t>investicionim fondovima</w:t>
      </w:r>
      <w:r w:rsidR="002A7955">
        <w:rPr>
          <w:lang w:val="sl-SI"/>
        </w:rPr>
        <w:t xml:space="preserve"> kojima upravlja</w:t>
      </w:r>
      <w:r w:rsidR="001E4F1A">
        <w:rPr>
          <w:lang w:val="sl-SI"/>
        </w:rPr>
        <w:t>,</w:t>
      </w:r>
      <w:r w:rsidR="002A7955">
        <w:rPr>
          <w:lang w:val="sl-SI"/>
        </w:rPr>
        <w:t xml:space="preserve"> u skladu sa</w:t>
      </w:r>
      <w:r>
        <w:rPr>
          <w:lang w:val="sl-SI"/>
        </w:rPr>
        <w:t xml:space="preserve"> P</w:t>
      </w:r>
      <w:r w:rsidR="000C3C73">
        <w:rPr>
          <w:lang w:val="sl-SI"/>
        </w:rPr>
        <w:t>rogram</w:t>
      </w:r>
      <w:r w:rsidR="001E4F1A">
        <w:rPr>
          <w:lang w:val="sl-SI"/>
        </w:rPr>
        <w:t>o</w:t>
      </w:r>
      <w:r w:rsidR="002A7955">
        <w:rPr>
          <w:lang w:val="sl-SI"/>
        </w:rPr>
        <w:t>m</w:t>
      </w:r>
      <w:r w:rsidR="000C3C73">
        <w:rPr>
          <w:lang w:val="sl-SI"/>
        </w:rPr>
        <w:t xml:space="preserve"> investicionih ciljeva i investicione politike fonda, koji</w:t>
      </w:r>
      <w:r>
        <w:rPr>
          <w:lang w:val="sl-SI"/>
        </w:rPr>
        <w:t>m</w:t>
      </w:r>
      <w:r w:rsidR="002A7955">
        <w:rPr>
          <w:lang w:val="sl-SI"/>
        </w:rPr>
        <w:t>a</w:t>
      </w:r>
      <w:r w:rsidR="000C3C73">
        <w:rPr>
          <w:lang w:val="sl-SI"/>
        </w:rPr>
        <w:t xml:space="preserve"> se definišu ciljevi i strategija upravlja</w:t>
      </w:r>
      <w:r w:rsidR="002A7955">
        <w:rPr>
          <w:lang w:val="sl-SI"/>
        </w:rPr>
        <w:t>nja imovinom fondova</w:t>
      </w:r>
      <w:r w:rsidR="000C3C73"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Programom investicionih ciljeva i investicione politike fonda, druš</w:t>
      </w:r>
      <w:r w:rsidR="002A7955">
        <w:rPr>
          <w:lang w:val="sl-SI"/>
        </w:rPr>
        <w:t>tvo upravlja portfeljom investicionog</w:t>
      </w:r>
      <w:r w:rsidR="0080729C">
        <w:rPr>
          <w:lang w:val="sl-SI"/>
        </w:rPr>
        <w:t xml:space="preserve"> fonda, tako što </w:t>
      </w:r>
      <w:r>
        <w:rPr>
          <w:lang w:val="sl-SI"/>
        </w:rPr>
        <w:t>pro</w:t>
      </w:r>
      <w:r w:rsidR="002A7955">
        <w:rPr>
          <w:lang w:val="sl-SI"/>
        </w:rPr>
        <w:t>daje ulaganja iz portfelja fonda</w:t>
      </w:r>
      <w:r>
        <w:rPr>
          <w:lang w:val="sl-SI"/>
        </w:rPr>
        <w:t xml:space="preserve">, i </w:t>
      </w:r>
      <w:r w:rsidR="002A7955">
        <w:rPr>
          <w:lang w:val="sl-SI"/>
        </w:rPr>
        <w:t xml:space="preserve">tako što </w:t>
      </w:r>
      <w:r>
        <w:rPr>
          <w:lang w:val="sl-SI"/>
        </w:rPr>
        <w:t>kupuj</w:t>
      </w:r>
      <w:r w:rsidR="002A7955">
        <w:rPr>
          <w:lang w:val="sl-SI"/>
        </w:rPr>
        <w:t>e imovinu u ime i za račun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prodaje </w:t>
      </w:r>
      <w:r w:rsidR="0080729C">
        <w:rPr>
          <w:lang w:val="sl-SI"/>
        </w:rPr>
        <w:t>likvidne akcije preduzeća iz portfelja</w:t>
      </w:r>
      <w:r>
        <w:rPr>
          <w:lang w:val="sl-SI"/>
        </w:rPr>
        <w:t xml:space="preserve"> fonda, </w:t>
      </w:r>
      <w:r w:rsidR="0080729C">
        <w:rPr>
          <w:lang w:val="sl-SI"/>
        </w:rPr>
        <w:t>nakon analize investicionih menad</w:t>
      </w:r>
      <w:r w:rsidR="008D33AF">
        <w:rPr>
          <w:lang w:val="sl-SI"/>
        </w:rPr>
        <w:t>ž</w:t>
      </w:r>
      <w:r w:rsidR="0080729C">
        <w:rPr>
          <w:lang w:val="sl-SI"/>
        </w:rPr>
        <w:t>era, i u skladu sa odlukama upravnog odbora, koji provodi poslovnu politiku društva.</w:t>
      </w:r>
    </w:p>
    <w:p w:rsidR="007647AE" w:rsidRDefault="002A7955" w:rsidP="008D33AF">
      <w:pPr>
        <w:jc w:val="both"/>
        <w:rPr>
          <w:lang w:val="sl-SI"/>
        </w:rPr>
      </w:pPr>
      <w:r>
        <w:rPr>
          <w:lang w:val="sl-SI"/>
        </w:rPr>
        <w:t>U toku 2014</w:t>
      </w:r>
      <w:r w:rsidR="0080729C">
        <w:rPr>
          <w:lang w:val="sl-SI"/>
        </w:rPr>
        <w:t>. godine društvo je u ime i</w:t>
      </w:r>
      <w:r>
        <w:rPr>
          <w:lang w:val="sl-SI"/>
        </w:rPr>
        <w:t xml:space="preserve"> za račun fonda dalo ukupno 12</w:t>
      </w:r>
      <w:r w:rsidR="0080729C">
        <w:rPr>
          <w:lang w:val="sl-SI"/>
        </w:rPr>
        <w:t xml:space="preserve"> naloga za prodaju, ali zbog male tražnje i nedovoljnog interesa investitora, većina naloga nije realizovana,</w:t>
      </w:r>
      <w:r w:rsidR="000C3C73">
        <w:rPr>
          <w:lang w:val="sl-SI"/>
        </w:rPr>
        <w:t xml:space="preserve"> a što se tiče kupovine u ime i za račun fonda, realizov</w:t>
      </w:r>
      <w:r w:rsidR="008D33AF">
        <w:rPr>
          <w:lang w:val="sl-SI"/>
        </w:rPr>
        <w:t>ana</w:t>
      </w:r>
      <w:r w:rsidR="007647AE">
        <w:rPr>
          <w:lang w:val="sl-SI"/>
        </w:rPr>
        <w:t xml:space="preserve"> je većina</w:t>
      </w:r>
      <w:r w:rsidR="000C3C73">
        <w:rPr>
          <w:lang w:val="sl-SI"/>
        </w:rPr>
        <w:t xml:space="preserve"> </w:t>
      </w:r>
      <w:r w:rsidR="001E4F1A">
        <w:rPr>
          <w:lang w:val="sl-SI"/>
        </w:rPr>
        <w:t xml:space="preserve">datih </w:t>
      </w:r>
      <w:r w:rsidR="000C3C73">
        <w:rPr>
          <w:lang w:val="sl-SI"/>
        </w:rPr>
        <w:t>kupovni</w:t>
      </w:r>
      <w:r w:rsidR="007647AE">
        <w:rPr>
          <w:lang w:val="sl-SI"/>
        </w:rPr>
        <w:t>h naloga.</w:t>
      </w:r>
    </w:p>
    <w:p w:rsidR="000C3C73" w:rsidRDefault="007647AE" w:rsidP="008D33AF">
      <w:pPr>
        <w:jc w:val="both"/>
        <w:rPr>
          <w:lang w:val="sl-SI"/>
        </w:rPr>
      </w:pPr>
      <w:r>
        <w:rPr>
          <w:lang w:val="sl-SI"/>
        </w:rPr>
        <w:t>Kao rezultat investicionih aktivnosti fond</w:t>
      </w:r>
      <w:r w:rsidR="002A7955">
        <w:rPr>
          <w:lang w:val="sl-SI"/>
        </w:rPr>
        <w:t xml:space="preserve">a tokom </w:t>
      </w:r>
      <w:r w:rsidR="001E4F1A">
        <w:rPr>
          <w:lang w:val="sl-SI"/>
        </w:rPr>
        <w:t>2014.</w:t>
      </w:r>
      <w:r w:rsidR="002A7955">
        <w:rPr>
          <w:lang w:val="sl-SI"/>
        </w:rPr>
        <w:t xml:space="preserve"> godine je</w:t>
      </w:r>
      <w:r>
        <w:rPr>
          <w:lang w:val="sl-SI"/>
        </w:rPr>
        <w:t xml:space="preserve"> </w:t>
      </w:r>
      <w:r w:rsidR="000C3C73">
        <w:rPr>
          <w:lang w:val="sl-SI"/>
        </w:rPr>
        <w:t>povećano učešće obveznica u ukupnoj imovini fonda, dok je istovremeno smanjeno učešće akcija u ukupnoj imovini fonda.</w:t>
      </w:r>
    </w:p>
    <w:p w:rsidR="000C3C73" w:rsidRDefault="002A7955" w:rsidP="008D33AF">
      <w:pPr>
        <w:jc w:val="both"/>
        <w:rPr>
          <w:lang w:val="sl-SI"/>
        </w:rPr>
      </w:pPr>
      <w:r>
        <w:rPr>
          <w:lang w:val="sl-SI"/>
        </w:rPr>
        <w:t>Tokom</w:t>
      </w:r>
      <w:r w:rsidR="001E4F1A">
        <w:rPr>
          <w:lang w:val="sl-SI"/>
        </w:rPr>
        <w:t xml:space="preserve"> 2014. godine fond je imao</w:t>
      </w:r>
      <w:r>
        <w:rPr>
          <w:lang w:val="sl-SI"/>
        </w:rPr>
        <w:t xml:space="preserve"> manje </w:t>
      </w:r>
      <w:r w:rsidR="000C3C73">
        <w:rPr>
          <w:lang w:val="sl-SI"/>
        </w:rPr>
        <w:t>prihode</w:t>
      </w:r>
      <w:r>
        <w:rPr>
          <w:lang w:val="sl-SI"/>
        </w:rPr>
        <w:t xml:space="preserve"> u odnosu na prethodnu godinu</w:t>
      </w:r>
      <w:r w:rsidR="000C3C73">
        <w:rPr>
          <w:lang w:val="sl-SI"/>
        </w:rPr>
        <w:t xml:space="preserve">, </w:t>
      </w:r>
      <w:r>
        <w:rPr>
          <w:lang w:val="sl-SI"/>
        </w:rPr>
        <w:t>a najveći dio ovih prihoda ostvarenih tokom poslovne godine je investiran u novu imovinu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Osim upravljanja imovinom fonda, društvo </w:t>
      </w:r>
      <w:r w:rsidR="00755F79">
        <w:rPr>
          <w:lang w:val="sl-SI"/>
        </w:rPr>
        <w:t>je aktivno učestvovalo</w:t>
      </w:r>
      <w:r w:rsidR="007647AE">
        <w:rPr>
          <w:lang w:val="sl-SI"/>
        </w:rPr>
        <w:t xml:space="preserve"> u radu skupština akcionara preduzeća i banaka, čije akcije </w:t>
      </w:r>
      <w:r w:rsidR="00755F79">
        <w:rPr>
          <w:lang w:val="sl-SI"/>
        </w:rPr>
        <w:t xml:space="preserve">je fond </w:t>
      </w:r>
      <w:r w:rsidR="007647AE">
        <w:rPr>
          <w:lang w:val="sl-SI"/>
        </w:rPr>
        <w:t>ima</w:t>
      </w:r>
      <w:r w:rsidR="00755F79">
        <w:rPr>
          <w:lang w:val="sl-SI"/>
        </w:rPr>
        <w:t>o</w:t>
      </w:r>
      <w:r w:rsidR="007647AE">
        <w:rPr>
          <w:lang w:val="sl-SI"/>
        </w:rPr>
        <w:t xml:space="preserve"> u svome portfelju</w:t>
      </w:r>
      <w:r>
        <w:rPr>
          <w:lang w:val="sl-SI"/>
        </w:rPr>
        <w:t>.</w:t>
      </w:r>
    </w:p>
    <w:p w:rsidR="000C3C73" w:rsidRDefault="00755F79" w:rsidP="008D33AF">
      <w:pPr>
        <w:jc w:val="both"/>
        <w:rPr>
          <w:lang w:val="sl-SI"/>
        </w:rPr>
      </w:pPr>
      <w:r>
        <w:rPr>
          <w:lang w:val="sl-SI"/>
        </w:rPr>
        <w:t>Likvidnost banja</w:t>
      </w:r>
      <w:r w:rsidR="001E4F1A">
        <w:rPr>
          <w:lang w:val="sl-SI"/>
        </w:rPr>
        <w:t>lučke berze je u 2014. godini</w:t>
      </w:r>
      <w:r>
        <w:rPr>
          <w:lang w:val="sl-SI"/>
        </w:rPr>
        <w:t xml:space="preserve"> bila na</w:t>
      </w:r>
      <w:r w:rsidR="000C3C73">
        <w:rPr>
          <w:lang w:val="sl-SI"/>
        </w:rPr>
        <w:t xml:space="preserve"> niskom nivou, </w:t>
      </w:r>
      <w:r w:rsidR="007647AE">
        <w:rPr>
          <w:lang w:val="sl-SI"/>
        </w:rPr>
        <w:t>a većinu prometa su činile dužničke hartije, koje je emitovala i čije isplate po dospijeću garantuje Vlada Republike Srpske.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2.1. Kretanje pro</w:t>
      </w:r>
      <w:r w:rsidR="00362729">
        <w:rPr>
          <w:b/>
          <w:i/>
          <w:lang w:val="sl-SI"/>
        </w:rPr>
        <w:t>meta na banjalučkoj berzi u 2013. i 2014</w:t>
      </w:r>
      <w:r w:rsidRPr="00D27ABD">
        <w:rPr>
          <w:b/>
          <w:i/>
          <w:lang w:val="sl-SI"/>
        </w:rPr>
        <w:t>. godini</w:t>
      </w:r>
    </w:p>
    <w:p w:rsidR="00D27ABD" w:rsidRDefault="00D27ABD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U ovom periodu na banjalučkoj berzi ostvaren je ukupan promet:</w:t>
      </w:r>
    </w:p>
    <w:p w:rsidR="000C3C73" w:rsidRDefault="000C3C73">
      <w:pPr>
        <w:rPr>
          <w:lang w:val="sl-SI"/>
        </w:rPr>
      </w:pPr>
    </w:p>
    <w:p w:rsidR="000C3C73" w:rsidRPr="00C249B2" w:rsidRDefault="00362729">
      <w:pPr>
        <w:ind w:left="36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4"/>
        <w:gridCol w:w="1800"/>
        <w:gridCol w:w="2146"/>
      </w:tblGrid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>Ukup</w:t>
            </w:r>
            <w:r w:rsidR="00362729">
              <w:rPr>
                <w:b/>
                <w:bCs/>
                <w:sz w:val="20"/>
                <w:szCs w:val="20"/>
              </w:rPr>
              <w:t>an promet Januar - Decembar 2013</w:t>
            </w:r>
            <w:r w:rsidRPr="00C249B2">
              <w:rPr>
                <w:b/>
                <w:bCs/>
                <w:sz w:val="20"/>
                <w:szCs w:val="20"/>
              </w:rPr>
              <w:t xml:space="preserve">. | Total </w:t>
            </w:r>
            <w:r w:rsidR="00362729">
              <w:rPr>
                <w:b/>
                <w:bCs/>
                <w:sz w:val="20"/>
                <w:szCs w:val="20"/>
              </w:rPr>
              <w:t>Turnover January - December 2013</w:t>
            </w:r>
            <w:r w:rsidR="007647AE" w:rsidRPr="00C249B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16183C" w:rsidP="008D3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47AE" w:rsidRPr="00C249B2">
              <w:rPr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14,36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47.801.659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18,32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</w:t>
            </w:r>
            <w:r w:rsidR="00C146F0" w:rsidRPr="00C249B2">
              <w:rPr>
                <w:sz w:val="20"/>
                <w:szCs w:val="20"/>
              </w:rPr>
              <w:t>17.315.384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6,64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5.695.270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2,18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7.762.107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2,97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5.400.000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2,07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36.059.478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13,82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94.989.459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36,40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</w:t>
            </w:r>
            <w:r w:rsidR="000C3C73" w:rsidRPr="00C249B2">
              <w:rPr>
                <w:sz w:val="20"/>
                <w:szCs w:val="20"/>
              </w:rPr>
              <w:t>8.4</w:t>
            </w:r>
            <w:r w:rsidRPr="00C249B2">
              <w:rPr>
                <w:sz w:val="20"/>
                <w:szCs w:val="20"/>
              </w:rPr>
              <w:t>32.729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3,23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 xml:space="preserve">         260.931.941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D27ABD" w:rsidRDefault="00D27ABD">
      <w:pPr>
        <w:ind w:left="360"/>
        <w:rPr>
          <w:sz w:val="20"/>
          <w:szCs w:val="20"/>
          <w:lang w:val="sl-SI"/>
        </w:rPr>
      </w:pPr>
    </w:p>
    <w:p w:rsidR="000C3C73" w:rsidRPr="00C249B2" w:rsidRDefault="003469E3">
      <w:pPr>
        <w:ind w:left="360"/>
        <w:rPr>
          <w:sz w:val="20"/>
          <w:szCs w:val="20"/>
          <w:lang w:val="sl-SI"/>
        </w:rPr>
      </w:pPr>
      <w:r w:rsidRPr="00C249B2"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 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2"/>
        <w:gridCol w:w="1800"/>
        <w:gridCol w:w="2160"/>
      </w:tblGrid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C249B2">
              <w:rPr>
                <w:sz w:val="20"/>
              </w:rPr>
              <w:t>Ukup</w:t>
            </w:r>
            <w:r w:rsidR="00483055">
              <w:rPr>
                <w:sz w:val="20"/>
              </w:rPr>
              <w:t xml:space="preserve">an promet Januar - </w:t>
            </w:r>
            <w:r w:rsidR="003A22E1">
              <w:rPr>
                <w:sz w:val="20"/>
              </w:rPr>
              <w:t>Decembar 2013</w:t>
            </w:r>
            <w:r w:rsidRPr="00C249B2">
              <w:rPr>
                <w:sz w:val="20"/>
              </w:rPr>
              <w:t>.</w:t>
            </w:r>
            <w:proofErr w:type="gramEnd"/>
            <w:r w:rsidRPr="00C249B2">
              <w:rPr>
                <w:sz w:val="20"/>
              </w:rPr>
              <w:t xml:space="preserve"> | Total Turnover January - December </w:t>
            </w:r>
            <w:proofErr w:type="gramStart"/>
            <w:r w:rsidRPr="00C249B2">
              <w:rPr>
                <w:sz w:val="20"/>
              </w:rPr>
              <w:t>201</w:t>
            </w:r>
            <w:r w:rsidR="003A22E1">
              <w:rPr>
                <w:sz w:val="20"/>
              </w:rPr>
              <w:t>3</w:t>
            </w:r>
            <w:r w:rsidR="00050586">
              <w:rPr>
                <w:sz w:val="20"/>
              </w:rPr>
              <w:t xml:space="preserve"> </w:t>
            </w:r>
            <w:r w:rsidR="00D653A2" w:rsidRPr="00C249B2">
              <w:rPr>
                <w:sz w:val="20"/>
              </w:rPr>
              <w:t>.</w:t>
            </w:r>
            <w:proofErr w:type="gramEnd"/>
          </w:p>
        </w:tc>
      </w:tr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24.184.702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18,99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lastRenderedPageBreak/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77.884.632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61,17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11.399.151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9,42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13.248.300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10,40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6F658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       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127.316.785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>
            <w:pPr>
              <w:jc w:val="right"/>
              <w:rPr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8624ED" w:rsidRPr="00C52D0B" w:rsidRDefault="008624ED" w:rsidP="008624ED">
      <w:pPr>
        <w:ind w:left="360"/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2014.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24ED" w:rsidRPr="00C52D0B" w:rsidRDefault="008624ED" w:rsidP="008624ED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proofErr w:type="gramStart"/>
            <w:r w:rsidRPr="00C52D0B">
              <w:rPr>
                <w:sz w:val="20"/>
              </w:rPr>
              <w:t>Ukupan promet Januar - Decembar 2014.</w:t>
            </w:r>
            <w:proofErr w:type="gramEnd"/>
            <w:r w:rsidRPr="00C52D0B">
              <w:rPr>
                <w:sz w:val="20"/>
              </w:rPr>
              <w:t xml:space="preserve"> | Total Turnover January - December 201</w:t>
            </w:r>
            <w:bookmarkEnd w:id="0"/>
            <w:r w:rsidRPr="00C52D0B">
              <w:rPr>
                <w:sz w:val="20"/>
              </w:rPr>
              <w:t>4.</w:t>
            </w:r>
          </w:p>
        </w:tc>
      </w:tr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ED" w:rsidRPr="00C52D0B" w:rsidRDefault="008624ED" w:rsidP="00862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82.054.465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13,99%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93.192.564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15,89%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20.223.994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3,45%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20.532.775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4.455.448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0,76%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6.048.500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1,03%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187.503.000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31,96%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171.766.325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29,28%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830.490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0,14%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586.607.561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100,00%</w:t>
            </w:r>
          </w:p>
        </w:tc>
      </w:tr>
    </w:tbl>
    <w:p w:rsidR="008624ED" w:rsidRPr="00C52D0B" w:rsidRDefault="008624ED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>Analizom prometa na banjalučkoj berzi možemo zaključiti sl</w:t>
      </w:r>
      <w:r w:rsidR="008D33AF" w:rsidRPr="00C52D0B">
        <w:rPr>
          <w:lang w:val="sl-SI"/>
        </w:rPr>
        <w:t>j</w:t>
      </w:r>
      <w:r w:rsidRPr="00C52D0B">
        <w:rPr>
          <w:lang w:val="sl-SI"/>
        </w:rPr>
        <w:t>edeće:</w:t>
      </w:r>
    </w:p>
    <w:p w:rsidR="000C3C73" w:rsidRPr="00C52D0B" w:rsidRDefault="00321005" w:rsidP="003A22E1">
      <w:pPr>
        <w:pStyle w:val="ListParagraph"/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</w:t>
      </w:r>
      <w:r w:rsidR="009A698B" w:rsidRPr="00C52D0B">
        <w:rPr>
          <w:lang w:val="sl-SI"/>
        </w:rPr>
        <w:t xml:space="preserve"> ukupan promet u 2014</w:t>
      </w:r>
      <w:r w:rsidR="00751BE5" w:rsidRPr="00C52D0B">
        <w:rPr>
          <w:lang w:val="sl-SI"/>
        </w:rPr>
        <w:t>. godini povećan</w:t>
      </w:r>
      <w:r w:rsidR="000C3C73" w:rsidRPr="00C52D0B">
        <w:rPr>
          <w:lang w:val="sl-SI"/>
        </w:rPr>
        <w:t xml:space="preserve"> za </w:t>
      </w:r>
      <w:r w:rsidR="00751BE5" w:rsidRPr="00C52D0B">
        <w:rPr>
          <w:lang w:val="sl-SI"/>
        </w:rPr>
        <w:t>461</w:t>
      </w:r>
      <w:r w:rsidR="009A698B" w:rsidRPr="00C52D0B">
        <w:rPr>
          <w:lang w:val="sl-SI"/>
        </w:rPr>
        <w:t>,00 %, u odnosu na 2013</w:t>
      </w:r>
      <w:r w:rsidR="000C3C73" w:rsidRPr="00C52D0B">
        <w:rPr>
          <w:lang w:val="sl-SI"/>
        </w:rPr>
        <w:t>. godinu,</w:t>
      </w:r>
    </w:p>
    <w:p w:rsidR="000C3C73" w:rsidRPr="00C52D0B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 redovan promet akcijam</w:t>
      </w:r>
      <w:r w:rsidR="00751BE5" w:rsidRPr="00C52D0B">
        <w:rPr>
          <w:lang w:val="sl-SI"/>
        </w:rPr>
        <w:t>a u istom periodu bio veći za nešto više od 58 miliona KM, što čini povećanje za nešto više od 340</w:t>
      </w:r>
      <w:r w:rsidR="002F0C47" w:rsidRPr="00C52D0B">
        <w:rPr>
          <w:lang w:val="sl-SI"/>
        </w:rPr>
        <w:t>,00</w:t>
      </w:r>
      <w:r w:rsidRPr="00C52D0B">
        <w:rPr>
          <w:lang w:val="sl-SI"/>
        </w:rPr>
        <w:t xml:space="preserve"> %,</w:t>
      </w:r>
    </w:p>
    <w:p w:rsidR="000C3C73" w:rsidRPr="00C52D0B" w:rsidRDefault="00751BE5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se u 2014. godini ponovo trgovalo blok poslovima, kojih</w:t>
      </w:r>
      <w:r w:rsidR="002F0C47" w:rsidRPr="00C52D0B">
        <w:rPr>
          <w:lang w:val="sl-SI"/>
        </w:rPr>
        <w:t xml:space="preserve"> u 2013</w:t>
      </w:r>
      <w:r w:rsidR="000C3C73" w:rsidRPr="00C52D0B">
        <w:rPr>
          <w:lang w:val="sl-SI"/>
        </w:rPr>
        <w:t xml:space="preserve">. godini </w:t>
      </w:r>
      <w:r w:rsidRPr="00C52D0B">
        <w:rPr>
          <w:lang w:val="sl-SI"/>
        </w:rPr>
        <w:t xml:space="preserve">uopšte nije bilo, </w:t>
      </w:r>
    </w:p>
    <w:p w:rsidR="00751BE5" w:rsidRPr="00C52D0B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 xml:space="preserve">da je promet obveznicama </w:t>
      </w:r>
      <w:r w:rsidR="00751BE5" w:rsidRPr="00C52D0B">
        <w:rPr>
          <w:lang w:val="sl-SI"/>
        </w:rPr>
        <w:t>u 2014. godini imao takodje</w:t>
      </w:r>
      <w:r w:rsidR="008A0930" w:rsidRPr="00C52D0B">
        <w:rPr>
          <w:lang w:val="sl-SI"/>
        </w:rPr>
        <w:t xml:space="preserve"> rast</w:t>
      </w:r>
      <w:r w:rsidR="00751BE5" w:rsidRPr="00C52D0B">
        <w:rPr>
          <w:lang w:val="sl-SI"/>
        </w:rPr>
        <w:t xml:space="preserve"> za nešto više od 16 miliona KM, što čini 12,00 % više u odnosu na prethodnu godinu, </w:t>
      </w:r>
    </w:p>
    <w:p w:rsidR="000C3C73" w:rsidRPr="00C52D0B" w:rsidRDefault="00751BE5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 došlo do velikog porasta prometa trezorskim zapisima u 2014. godini, sa nešto više od 13 miliona KM u 2013. godini, na 171 milion KM i</w:t>
      </w:r>
    </w:p>
    <w:p w:rsidR="00751BE5" w:rsidRPr="00C52D0B" w:rsidRDefault="00605D5D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se u 2014.godini ponovo trgovalo putem preuzimanja.</w:t>
      </w:r>
    </w:p>
    <w:p w:rsidR="000C3C73" w:rsidRPr="00C52D0B" w:rsidRDefault="000C3C73" w:rsidP="008D33AF">
      <w:pPr>
        <w:jc w:val="both"/>
        <w:rPr>
          <w:lang w:val="sl-SI"/>
        </w:rPr>
      </w:pPr>
      <w:r w:rsidRPr="00C52D0B">
        <w:rPr>
          <w:lang w:val="sl-SI"/>
        </w:rPr>
        <w:t xml:space="preserve">Ovi pokazatelji </w:t>
      </w:r>
      <w:r w:rsidR="008A0930" w:rsidRPr="00C52D0B">
        <w:rPr>
          <w:lang w:val="sl-SI"/>
        </w:rPr>
        <w:t xml:space="preserve">uzeti zbirno </w:t>
      </w:r>
      <w:r w:rsidRPr="00C52D0B">
        <w:rPr>
          <w:lang w:val="sl-SI"/>
        </w:rPr>
        <w:t>upućuju na zaključak da</w:t>
      </w:r>
      <w:r w:rsidR="00605D5D" w:rsidRPr="00C52D0B">
        <w:rPr>
          <w:lang w:val="sl-SI"/>
        </w:rPr>
        <w:t xml:space="preserve"> je promet na banjalučkoj berzi u 2014. godini imao značajan rast u odnosu na </w:t>
      </w:r>
      <w:r w:rsidR="008A0930" w:rsidRPr="00C52D0B">
        <w:rPr>
          <w:lang w:val="sl-SI"/>
        </w:rPr>
        <w:t>2013</w:t>
      </w:r>
      <w:r w:rsidR="00605D5D" w:rsidRPr="00C52D0B">
        <w:rPr>
          <w:lang w:val="sl-SI"/>
        </w:rPr>
        <w:t xml:space="preserve">. godinu, ali da je </w:t>
      </w:r>
      <w:r w:rsidRPr="00C52D0B">
        <w:rPr>
          <w:lang w:val="sl-SI"/>
        </w:rPr>
        <w:t xml:space="preserve"> </w:t>
      </w:r>
      <w:r w:rsidR="00605D5D" w:rsidRPr="00C52D0B">
        <w:rPr>
          <w:lang w:val="sl-SI"/>
        </w:rPr>
        <w:t xml:space="preserve">ovaj porast najvećim dijelom bio rezultat trgovanja dužničkim hartijama. </w:t>
      </w:r>
      <w:r w:rsidR="008A0930" w:rsidRPr="00C52D0B">
        <w:rPr>
          <w:lang w:val="sl-SI"/>
        </w:rPr>
        <w:t xml:space="preserve"> </w:t>
      </w:r>
    </w:p>
    <w:p w:rsidR="008A0930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Na banjalučkoj berzi je došlo do rasta tražnje za obveznicama ratne štete i obveznicama stare devizne štednje, kao i za trezorskim zapisima, što je dovelo do velikog rasta prometa u odnosu na prethodnu godinu, u kojoj je promet bio na veoma niskom nivou.</w:t>
      </w:r>
    </w:p>
    <w:p w:rsidR="000C3C73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Tokom 2014</w:t>
      </w:r>
      <w:r w:rsidR="008A0930" w:rsidRPr="00C52D0B">
        <w:rPr>
          <w:lang w:val="sl-SI"/>
        </w:rPr>
        <w:t xml:space="preserve">. </w:t>
      </w:r>
      <w:r w:rsidR="00B81FCE" w:rsidRPr="00C52D0B">
        <w:rPr>
          <w:lang w:val="sl-SI"/>
        </w:rPr>
        <w:t>g</w:t>
      </w:r>
      <w:r w:rsidR="008D33AF" w:rsidRPr="00C52D0B">
        <w:rPr>
          <w:lang w:val="sl-SI"/>
        </w:rPr>
        <w:t xml:space="preserve">odine i domaći investitori su </w:t>
      </w:r>
      <w:r w:rsidR="008A0930" w:rsidRPr="00C52D0B">
        <w:rPr>
          <w:lang w:val="sl-SI"/>
        </w:rPr>
        <w:t>smanjili</w:t>
      </w:r>
      <w:r w:rsidR="008D33AF" w:rsidRPr="00C52D0B">
        <w:rPr>
          <w:lang w:val="sl-SI"/>
        </w:rPr>
        <w:t xml:space="preserve"> kupovine</w:t>
      </w:r>
      <w:r w:rsidR="000C3C73" w:rsidRPr="00C52D0B">
        <w:rPr>
          <w:lang w:val="sl-SI"/>
        </w:rPr>
        <w:t xml:space="preserve">, </w:t>
      </w:r>
      <w:r w:rsidR="00B81FCE" w:rsidRPr="00C52D0B">
        <w:rPr>
          <w:lang w:val="sl-SI"/>
        </w:rPr>
        <w:t>a što se tiče poslovnih banaka, koje imaju sjedišta u Republici Srpskoj, one dio slobodnog kapit</w:t>
      </w:r>
      <w:r w:rsidRPr="00C52D0B">
        <w:rPr>
          <w:lang w:val="sl-SI"/>
        </w:rPr>
        <w:t>ala, umjesto u kredite plasirale u  obveznice</w:t>
      </w:r>
      <w:r w:rsidR="00B81FCE" w:rsidRPr="00C52D0B">
        <w:rPr>
          <w:lang w:val="sl-SI"/>
        </w:rPr>
        <w:t xml:space="preserve"> i </w:t>
      </w:r>
      <w:r w:rsidRPr="00C52D0B">
        <w:rPr>
          <w:lang w:val="sl-SI"/>
        </w:rPr>
        <w:t xml:space="preserve">u </w:t>
      </w:r>
      <w:r w:rsidR="00B81FCE" w:rsidRPr="00C52D0B">
        <w:rPr>
          <w:lang w:val="sl-SI"/>
        </w:rPr>
        <w:t>trezors</w:t>
      </w:r>
      <w:r w:rsidRPr="00C52D0B">
        <w:rPr>
          <w:lang w:val="sl-SI"/>
        </w:rPr>
        <w:t>kih zapisa, zbog relativno smanjenog</w:t>
      </w:r>
      <w:r w:rsidR="00B81FCE" w:rsidRPr="00C52D0B">
        <w:rPr>
          <w:lang w:val="sl-SI"/>
        </w:rPr>
        <w:t xml:space="preserve"> rizika i visokog prinosa. </w:t>
      </w:r>
    </w:p>
    <w:p w:rsidR="00B81FCE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Ostali</w:t>
      </w:r>
      <w:r w:rsidR="00B81FCE" w:rsidRPr="00C52D0B">
        <w:rPr>
          <w:lang w:val="sl-SI"/>
        </w:rPr>
        <w:t xml:space="preserve"> investitori </w:t>
      </w:r>
      <w:r w:rsidRPr="00C52D0B">
        <w:rPr>
          <w:lang w:val="sl-SI"/>
        </w:rPr>
        <w:t>su oprezno trgovali, i njihove aktivnosti su se ograničile na kupovine</w:t>
      </w:r>
      <w:r w:rsidR="00B81FCE" w:rsidRPr="00C52D0B">
        <w:rPr>
          <w:lang w:val="sl-SI"/>
        </w:rPr>
        <w:t xml:space="preserve"> akcija </w:t>
      </w:r>
      <w:r w:rsidRPr="00C52D0B">
        <w:rPr>
          <w:lang w:val="sl-SI"/>
        </w:rPr>
        <w:t xml:space="preserve">zatvorenih investicionih </w:t>
      </w:r>
      <w:r w:rsidR="00B81FCE" w:rsidRPr="00C52D0B">
        <w:rPr>
          <w:lang w:val="sl-SI"/>
        </w:rPr>
        <w:t xml:space="preserve">fondova i dužničkih hartija na domaćem tržištu, </w:t>
      </w:r>
      <w:r w:rsidRPr="00C52D0B">
        <w:rPr>
          <w:lang w:val="sl-SI"/>
        </w:rPr>
        <w:t xml:space="preserve">a zabrunjavajuće je da </w:t>
      </w:r>
      <w:r w:rsidRPr="00C52D0B">
        <w:rPr>
          <w:lang w:val="sl-SI"/>
        </w:rPr>
        <w:lastRenderedPageBreak/>
        <w:t>investitori tokom 2014. godine nisu pokazali veći interes za kupovine akcija preduzeć</w:t>
      </w:r>
      <w:r w:rsidR="00B81FCE" w:rsidRPr="00C52D0B">
        <w:rPr>
          <w:lang w:val="sl-SI"/>
        </w:rPr>
        <w:t>a iz sektora elektroprivrede, iako su cijene ovih akcija u toku cijele godine bile na relativno niskom nivou.</w:t>
      </w:r>
    </w:p>
    <w:p w:rsidR="00B81FCE" w:rsidRPr="00C52D0B" w:rsidRDefault="00B81FCE" w:rsidP="008D33AF">
      <w:pPr>
        <w:jc w:val="both"/>
        <w:rPr>
          <w:lang w:val="sl-SI"/>
        </w:rPr>
      </w:pPr>
      <w:r w:rsidRPr="00C52D0B">
        <w:rPr>
          <w:lang w:val="sl-SI"/>
        </w:rPr>
        <w:t xml:space="preserve">Ovaj sektor bi trebalo da </w:t>
      </w:r>
      <w:r w:rsidR="00605D5D" w:rsidRPr="00C52D0B">
        <w:rPr>
          <w:lang w:val="sl-SI"/>
        </w:rPr>
        <w:t>podstakne promet akcijama u 2015</w:t>
      </w:r>
      <w:r w:rsidRPr="00C52D0B">
        <w:rPr>
          <w:lang w:val="sl-SI"/>
        </w:rPr>
        <w:t>. godini, imajući u vid</w:t>
      </w:r>
      <w:r w:rsidR="00C42F06" w:rsidRPr="00C52D0B">
        <w:rPr>
          <w:lang w:val="sl-SI"/>
        </w:rPr>
        <w:t xml:space="preserve">u činjenicu da su tri hidroelektrane i jedna termoelektrana </w:t>
      </w:r>
      <w:r w:rsidRPr="00C52D0B">
        <w:rPr>
          <w:lang w:val="sl-SI"/>
        </w:rPr>
        <w:t>i</w:t>
      </w:r>
      <w:r w:rsidR="00C42F06" w:rsidRPr="00C52D0B">
        <w:rPr>
          <w:lang w:val="sl-SI"/>
        </w:rPr>
        <w:t>z sektora elektroprivrede u 2014</w:t>
      </w:r>
      <w:r w:rsidRPr="00C52D0B">
        <w:rPr>
          <w:lang w:val="sl-SI"/>
        </w:rPr>
        <w:t>. godini isplatila dividendu svojim akcionarima, ali se čini da i pored najave isplata divide</w:t>
      </w:r>
      <w:r w:rsidR="00C42F06" w:rsidRPr="00C52D0B">
        <w:rPr>
          <w:lang w:val="sl-SI"/>
        </w:rPr>
        <w:t xml:space="preserve">nde i u tekućoj godini iz dividende svojim akcionarima, aočekivanja su da će hidroelektrane i u 2015. godini isplatiti dividende svojim akcionarima, što bi bio dobar znak za investitore da značajnije kupuju akcije iz energetskog sektora Republike Srpske.  </w:t>
      </w:r>
    </w:p>
    <w:p w:rsidR="00BD3EDE" w:rsidRPr="00C52D0B" w:rsidRDefault="00C42F06" w:rsidP="008D33AF">
      <w:pPr>
        <w:jc w:val="both"/>
        <w:rPr>
          <w:lang w:val="sl-SI"/>
        </w:rPr>
      </w:pPr>
      <w:r w:rsidRPr="00C52D0B">
        <w:rPr>
          <w:lang w:val="sl-SI"/>
        </w:rPr>
        <w:t>Rast redovnog berzanskog prometa na banjalučkoj berzi u toku 2014. godine je dobar pokazatelj da će se domaća berza u 2015. godini polako oporavljati, i da će se njen rast dodatno stimulisati povećanjem prometa dužničkim hartijama.</w:t>
      </w:r>
    </w:p>
    <w:p w:rsidR="00BF23A9" w:rsidRPr="00C52D0B" w:rsidRDefault="00BF23A9" w:rsidP="008D33AF">
      <w:pPr>
        <w:jc w:val="both"/>
        <w:rPr>
          <w:lang w:val="sl-SI"/>
        </w:rPr>
      </w:pPr>
    </w:p>
    <w:p w:rsidR="00BD3EDE" w:rsidRPr="00C52D0B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C52D0B">
        <w:rPr>
          <w:b/>
          <w:i/>
          <w:lang w:val="sl-SI"/>
        </w:rPr>
        <w:t xml:space="preserve">Kretanje berzanskih indeksa </w:t>
      </w:r>
    </w:p>
    <w:p w:rsidR="000C3C73" w:rsidRPr="00C52D0B" w:rsidRDefault="000C3C73" w:rsidP="00BD3EDE">
      <w:pPr>
        <w:jc w:val="both"/>
        <w:rPr>
          <w:b/>
          <w:i/>
          <w:lang w:val="sl-SI"/>
        </w:rPr>
      </w:pPr>
      <w:r w:rsidRPr="00C52D0B">
        <w:rPr>
          <w:lang w:val="sl-SI"/>
        </w:rPr>
        <w:t>Kako bi</w:t>
      </w:r>
      <w:r w:rsidR="00BC0A9C" w:rsidRPr="00C52D0B">
        <w:rPr>
          <w:lang w:val="sl-SI"/>
        </w:rPr>
        <w:t>smo</w:t>
      </w:r>
      <w:r w:rsidR="00696AFA" w:rsidRPr="00C52D0B">
        <w:rPr>
          <w:lang w:val="sl-SI"/>
        </w:rPr>
        <w:t xml:space="preserve"> </w:t>
      </w:r>
      <w:r w:rsidR="00BC0A9C" w:rsidRPr="00C52D0B">
        <w:rPr>
          <w:lang w:val="sl-SI"/>
        </w:rPr>
        <w:t>perdstavili tržišna kretanja na banjalučkoj berzi u poslednje tri godine</w:t>
      </w:r>
      <w:r w:rsidRPr="00C52D0B">
        <w:rPr>
          <w:lang w:val="sl-SI"/>
        </w:rPr>
        <w:t xml:space="preserve">, </w:t>
      </w:r>
      <w:r w:rsidR="00BC0A9C" w:rsidRPr="00C52D0B">
        <w:rPr>
          <w:lang w:val="sl-SI"/>
        </w:rPr>
        <w:t>sa aspekta hartija kojima se trgovalo</w:t>
      </w:r>
      <w:r w:rsidRPr="00C52D0B">
        <w:rPr>
          <w:lang w:val="sl-SI"/>
        </w:rPr>
        <w:t xml:space="preserve">, dajemo tabelarni </w:t>
      </w:r>
      <w:r w:rsidR="00C42F06" w:rsidRPr="00C52D0B">
        <w:rPr>
          <w:lang w:val="sl-SI"/>
        </w:rPr>
        <w:t>prikaz berzanskih indeksa u 2012</w:t>
      </w:r>
      <w:r w:rsidR="00F44B34" w:rsidRPr="00C52D0B">
        <w:rPr>
          <w:lang w:val="sl-SI"/>
        </w:rPr>
        <w:t>. 2013. i 2014</w:t>
      </w:r>
      <w:r w:rsidRPr="00C52D0B">
        <w:rPr>
          <w:lang w:val="sl-SI"/>
        </w:rPr>
        <w:t>. godin</w:t>
      </w:r>
      <w:r w:rsidR="00BD3EDE" w:rsidRPr="00C52D0B">
        <w:rPr>
          <w:lang w:val="sl-SI"/>
        </w:rPr>
        <w:t>i</w:t>
      </w:r>
      <w:r w:rsidRPr="00C52D0B">
        <w:rPr>
          <w:lang w:val="sl-SI"/>
        </w:rPr>
        <w:t>.</w:t>
      </w:r>
    </w:p>
    <w:p w:rsidR="0022048B" w:rsidRPr="00C52D0B" w:rsidRDefault="0022048B">
      <w:pPr>
        <w:rPr>
          <w:lang w:val="sl-SI"/>
        </w:rPr>
      </w:pPr>
    </w:p>
    <w:p w:rsidR="000C3C73" w:rsidRPr="00C52D0B" w:rsidRDefault="00F44B34">
      <w:pPr>
        <w:rPr>
          <w:lang w:val="sl-SI"/>
        </w:rPr>
      </w:pPr>
      <w:r w:rsidRPr="00C52D0B">
        <w:rPr>
          <w:lang w:val="sl-SI"/>
        </w:rPr>
        <w:t>Kretanje indeksa od 01.01.2011. do 31.12.2013</w:t>
      </w:r>
      <w:r w:rsidR="000C3C73" w:rsidRPr="00C52D0B">
        <w:rPr>
          <w:lang w:val="sl-SI"/>
        </w:rPr>
        <w:t>.</w:t>
      </w:r>
    </w:p>
    <w:p w:rsidR="000C3C73" w:rsidRPr="00C52D0B" w:rsidRDefault="000C3C73">
      <w:pPr>
        <w:rPr>
          <w:rFonts w:ascii="TimesNewRomanPS-BoldMT" w:hAnsi="TimesNewRomanPS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"/>
        <w:gridCol w:w="1203"/>
        <w:gridCol w:w="1203"/>
        <w:gridCol w:w="1203"/>
        <w:gridCol w:w="1203"/>
        <w:gridCol w:w="1203"/>
        <w:gridCol w:w="1203"/>
      </w:tblGrid>
      <w:tr w:rsidR="000C3C73" w:rsidRPr="00C52D0B">
        <w:tc>
          <w:tcPr>
            <w:tcW w:w="1368" w:type="dxa"/>
            <w:tcBorders>
              <w:top w:val="nil"/>
              <w:left w:val="nil"/>
            </w:tcBorders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  <w:szCs w:val="22"/>
              </w:rPr>
            </w:pPr>
          </w:p>
        </w:tc>
        <w:tc>
          <w:tcPr>
            <w:tcW w:w="1036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FIRS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BIRS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SASX-10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BELEX15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CROBEX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SBITOP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MBI10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pStyle w:val="Heading4"/>
              <w:rPr>
                <w:b w:val="0"/>
                <w:bCs w:val="0"/>
              </w:rPr>
            </w:pPr>
            <w:r w:rsidRPr="00C52D0B">
              <w:rPr>
                <w:b w:val="0"/>
                <w:bCs w:val="0"/>
              </w:rPr>
              <w:t>Indeks 201</w:t>
            </w:r>
            <w:r w:rsidR="00657B53" w:rsidRPr="00C52D0B">
              <w:rPr>
                <w:b w:val="0"/>
                <w:bCs w:val="0"/>
              </w:rPr>
              <w:t>1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1.812,30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812,14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2,95%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 w:rsidRPr="00C52D0B"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 w:rsidRPr="00C52D0B">
              <w:rPr>
                <w:rFonts w:ascii="TimesNewRomanPS-BoldMT" w:hAnsi="TimesNewRomanPS-BoldMT"/>
                <w:sz w:val="20"/>
                <w:szCs w:val="22"/>
              </w:rPr>
              <w:t>2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1.886,90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807,23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7,91%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 w:rsidRPr="00C52D0B"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 w:rsidRPr="00C52D0B">
              <w:rPr>
                <w:rFonts w:ascii="TimesNewRomanPS-BoldMT" w:hAnsi="TimesNewRomanPS-BoldMT"/>
                <w:sz w:val="20"/>
                <w:szCs w:val="22"/>
              </w:rPr>
              <w:t>3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1.942,53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743,36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12,44%</w:t>
            </w:r>
          </w:p>
        </w:tc>
      </w:tr>
    </w:tbl>
    <w:p w:rsidR="000C3C73" w:rsidRPr="00C52D0B" w:rsidRDefault="000C3C73" w:rsidP="00D27ABD">
      <w:pPr>
        <w:rPr>
          <w:lang w:val="sl-SI"/>
        </w:rPr>
      </w:pPr>
    </w:p>
    <w:p w:rsidR="008624ED" w:rsidRPr="00C52D0B" w:rsidRDefault="008624ED" w:rsidP="00D27ABD">
      <w:pPr>
        <w:rPr>
          <w:lang w:val="sl-SI"/>
        </w:rPr>
      </w:pPr>
    </w:p>
    <w:p w:rsidR="008624ED" w:rsidRPr="00C0681A" w:rsidRDefault="008624ED" w:rsidP="008624ED">
      <w:pPr>
        <w:jc w:val="both"/>
        <w:rPr>
          <w:lang w:val="sl-SI"/>
        </w:rPr>
      </w:pPr>
      <w:r>
        <w:rPr>
          <w:lang w:val="sl-SI"/>
        </w:rPr>
        <w:t>Grafikon kretanja</w:t>
      </w:r>
      <w:r w:rsidR="00F44B34">
        <w:rPr>
          <w:lang w:val="sl-SI"/>
        </w:rPr>
        <w:t xml:space="preserve"> indeksa u periodu od 01.01.2011</w:t>
      </w:r>
      <w:r>
        <w:rPr>
          <w:lang w:val="sl-SI"/>
        </w:rPr>
        <w:t>. do 31.12.2014.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994"/>
        <w:gridCol w:w="1053"/>
        <w:gridCol w:w="1053"/>
        <w:gridCol w:w="866"/>
        <w:gridCol w:w="1154"/>
        <w:gridCol w:w="1143"/>
        <w:gridCol w:w="1101"/>
        <w:gridCol w:w="1103"/>
      </w:tblGrid>
      <w:tr w:rsidR="008624ED" w:rsidTr="008624ED">
        <w:tc>
          <w:tcPr>
            <w:tcW w:w="1155" w:type="dxa"/>
            <w:tcBorders>
              <w:top w:val="nil"/>
              <w:left w:val="nil"/>
            </w:tcBorders>
          </w:tcPr>
          <w:p w:rsidR="008624ED" w:rsidRDefault="008624ED" w:rsidP="008624ED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  <w:szCs w:val="22"/>
              </w:rPr>
            </w:pPr>
          </w:p>
        </w:tc>
        <w:tc>
          <w:tcPr>
            <w:tcW w:w="994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FIRS</w:t>
            </w:r>
          </w:p>
        </w:tc>
        <w:tc>
          <w:tcPr>
            <w:tcW w:w="105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BIRS</w:t>
            </w:r>
          </w:p>
        </w:tc>
        <w:tc>
          <w:tcPr>
            <w:tcW w:w="105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ERS-10</w:t>
            </w:r>
          </w:p>
        </w:tc>
        <w:tc>
          <w:tcPr>
            <w:tcW w:w="866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ORS</w:t>
            </w:r>
          </w:p>
        </w:tc>
        <w:tc>
          <w:tcPr>
            <w:tcW w:w="1154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BELEX15</w:t>
            </w:r>
          </w:p>
        </w:tc>
        <w:tc>
          <w:tcPr>
            <w:tcW w:w="114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CROBEX</w:t>
            </w:r>
          </w:p>
        </w:tc>
        <w:tc>
          <w:tcPr>
            <w:tcW w:w="1101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SBITOP</w:t>
            </w:r>
          </w:p>
        </w:tc>
        <w:tc>
          <w:tcPr>
            <w:tcW w:w="110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PROMJ.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pStyle w:val="Heading4"/>
              <w:rPr>
                <w:rFonts w:ascii="Times New Roman" w:hAnsi="Times New Roman"/>
                <w:b w:val="0"/>
                <w:bCs w:val="0"/>
              </w:rPr>
            </w:pPr>
            <w:r w:rsidRPr="00C0681A">
              <w:rPr>
                <w:rFonts w:ascii="Times New Roman" w:hAnsi="Times New Roman"/>
                <w:b w:val="0"/>
                <w:bCs w:val="0"/>
              </w:rPr>
              <w:t>Indeks 2011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1.812,30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812,14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812,26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2,95 %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C0681A">
              <w:rPr>
                <w:sz w:val="20"/>
                <w:szCs w:val="22"/>
              </w:rPr>
              <w:t>Indeks 2012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1.886,90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807,23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745,65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-7,91 %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C0681A">
              <w:rPr>
                <w:sz w:val="20"/>
                <w:szCs w:val="22"/>
              </w:rPr>
              <w:t>Indeks 2013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1.942,53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743,36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652,86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-12,44 %</w:t>
            </w:r>
          </w:p>
        </w:tc>
      </w:tr>
      <w:tr w:rsidR="008624ED" w:rsidTr="008624ED">
        <w:tc>
          <w:tcPr>
            <w:tcW w:w="1155" w:type="dxa"/>
          </w:tcPr>
          <w:p w:rsidR="008624ED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Indeks</w:t>
            </w:r>
          </w:p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2014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1778,55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721,30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600,24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1738,59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624ED" w:rsidRPr="00B73969" w:rsidRDefault="003C0CEE" w:rsidP="003C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 xml:space="preserve">  10,23 %</w:t>
            </w:r>
          </w:p>
        </w:tc>
      </w:tr>
    </w:tbl>
    <w:p w:rsidR="008624ED" w:rsidRDefault="008624ED" w:rsidP="00D27ABD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Kada analiziramo kretanja naveden</w:t>
      </w:r>
      <w:r w:rsidR="00F44B34">
        <w:rPr>
          <w:lang w:val="sl-SI"/>
        </w:rPr>
        <w:t>ih berzanskih indeksa</w:t>
      </w:r>
      <w:r w:rsidR="00626928">
        <w:rPr>
          <w:lang w:val="sl-SI"/>
        </w:rPr>
        <w:t xml:space="preserve"> </w:t>
      </w:r>
      <w:r w:rsidR="00F44B34">
        <w:rPr>
          <w:lang w:val="sl-SI"/>
        </w:rPr>
        <w:t xml:space="preserve">u </w:t>
      </w:r>
      <w:r w:rsidR="00A017F7">
        <w:rPr>
          <w:lang w:val="sl-SI"/>
        </w:rPr>
        <w:t xml:space="preserve">periodu od </w:t>
      </w:r>
      <w:r w:rsidR="00F44B34">
        <w:rPr>
          <w:lang w:val="sl-SI"/>
        </w:rPr>
        <w:t>2011</w:t>
      </w:r>
      <w:r w:rsidR="00A017F7">
        <w:rPr>
          <w:lang w:val="sl-SI"/>
        </w:rPr>
        <w:t>. do</w:t>
      </w:r>
      <w:r w:rsidR="00F44B34">
        <w:rPr>
          <w:lang w:val="sl-SI"/>
        </w:rPr>
        <w:t xml:space="preserve"> 2014</w:t>
      </w:r>
      <w:r w:rsidR="00626928">
        <w:rPr>
          <w:lang w:val="sl-SI"/>
        </w:rPr>
        <w:t xml:space="preserve">. </w:t>
      </w:r>
      <w:r w:rsidR="00A017F7">
        <w:rPr>
          <w:lang w:val="sl-SI"/>
        </w:rPr>
        <w:t>godine</w:t>
      </w:r>
      <w:r>
        <w:rPr>
          <w:lang w:val="sl-SI"/>
        </w:rPr>
        <w:t>, možemo zaključiti sledeće: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indeks FIRS </w:t>
      </w:r>
      <w:r w:rsidR="00626928">
        <w:rPr>
          <w:lang w:val="sl-SI"/>
        </w:rPr>
        <w:t xml:space="preserve">je u 2012. godini </w:t>
      </w:r>
      <w:r w:rsidR="00A017F7">
        <w:rPr>
          <w:lang w:val="sl-SI"/>
        </w:rPr>
        <w:t xml:space="preserve">imao rast, u odnosu na 2011. godinu </w:t>
      </w:r>
      <w:r w:rsidR="00626928">
        <w:rPr>
          <w:lang w:val="sl-SI"/>
        </w:rPr>
        <w:t xml:space="preserve">godinu, i ovaj rast se nastavio i u 2013. </w:t>
      </w:r>
      <w:r w:rsidR="002E4858">
        <w:rPr>
          <w:lang w:val="sl-SI"/>
        </w:rPr>
        <w:t>g</w:t>
      </w:r>
      <w:r w:rsidR="00626928">
        <w:rPr>
          <w:lang w:val="sl-SI"/>
        </w:rPr>
        <w:t>odini</w:t>
      </w:r>
      <w:r w:rsidR="002E4858">
        <w:rPr>
          <w:lang w:val="sl-SI"/>
        </w:rPr>
        <w:t xml:space="preserve">, </w:t>
      </w:r>
      <w:r w:rsidR="00F44B34">
        <w:rPr>
          <w:lang w:val="sl-SI"/>
        </w:rPr>
        <w:t>dok je u 2014. godini došlo do značajnog pada ovoga indeksa,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i</w:t>
      </w:r>
      <w:r w:rsidR="00A017F7">
        <w:rPr>
          <w:lang w:val="sl-SI"/>
        </w:rPr>
        <w:t>ndeks BIRS</w:t>
      </w:r>
      <w:r w:rsidR="002E4858">
        <w:rPr>
          <w:lang w:val="sl-SI"/>
        </w:rPr>
        <w:t xml:space="preserve"> je u</w:t>
      </w:r>
      <w:r w:rsidR="000C3C73">
        <w:rPr>
          <w:lang w:val="sl-SI"/>
        </w:rPr>
        <w:t xml:space="preserve"> 2012. </w:t>
      </w:r>
      <w:r w:rsidR="002E4858">
        <w:rPr>
          <w:lang w:val="sl-SI"/>
        </w:rPr>
        <w:t>g</w:t>
      </w:r>
      <w:r w:rsidR="000C3C73">
        <w:rPr>
          <w:lang w:val="sl-SI"/>
        </w:rPr>
        <w:t>odini</w:t>
      </w:r>
      <w:r w:rsidR="002E4858">
        <w:rPr>
          <w:lang w:val="sl-SI"/>
        </w:rPr>
        <w:t xml:space="preserve"> imao blagi pad u odnosu na 2011. godinu, dok je</w:t>
      </w:r>
      <w:r w:rsidR="00A017F7">
        <w:rPr>
          <w:lang w:val="sl-SI"/>
        </w:rPr>
        <w:t xml:space="preserve"> u 2013. godini nastavljen pad</w:t>
      </w:r>
      <w:r w:rsidR="002E4858">
        <w:rPr>
          <w:lang w:val="sl-SI"/>
        </w:rPr>
        <w:t xml:space="preserve"> ovoga inde</w:t>
      </w:r>
      <w:r w:rsidR="00A017F7">
        <w:rPr>
          <w:lang w:val="sl-SI"/>
        </w:rPr>
        <w:t>ksa, što se nastavilo i</w:t>
      </w:r>
      <w:r w:rsidR="00AE4638">
        <w:rPr>
          <w:lang w:val="sl-SI"/>
        </w:rPr>
        <w:t xml:space="preserve"> tokom 2014. godine,</w:t>
      </w:r>
    </w:p>
    <w:p w:rsidR="00AE4638" w:rsidRDefault="00A017F7" w:rsidP="00BD3EDE">
      <w:pPr>
        <w:jc w:val="both"/>
        <w:rPr>
          <w:lang w:val="sl-SI"/>
        </w:rPr>
      </w:pPr>
      <w:r>
        <w:rPr>
          <w:lang w:val="sl-SI"/>
        </w:rPr>
        <w:t xml:space="preserve">Analiza uporednih pokazatelja kretanja berzanskih indeksa na banjalučkoj berzi, u periodu od 1.01.2011. godine do kraja 2013. godine, i za period od 1.01.2011. godine do 31.12.2014. godine, pokazuje slabljenje ova dva indeksa, što su pokazatelji pada tražnje i smanjenja interesa investitora za većim kupovinama na bajalučkoj berzi u poslednje četiri godine. </w:t>
      </w:r>
    </w:p>
    <w:p w:rsidR="000C3C73" w:rsidRDefault="00AE4638" w:rsidP="00BD3EDE">
      <w:pPr>
        <w:jc w:val="both"/>
        <w:rPr>
          <w:lang w:val="sl-SI"/>
        </w:rPr>
      </w:pPr>
      <w:r>
        <w:rPr>
          <w:lang w:val="sl-SI"/>
        </w:rPr>
        <w:lastRenderedPageBreak/>
        <w:t>Trend pada</w:t>
      </w:r>
      <w:r w:rsidR="000C3C73">
        <w:rPr>
          <w:lang w:val="sl-SI"/>
        </w:rPr>
        <w:t xml:space="preserve"> berzanskog indeksa BIRS</w:t>
      </w:r>
      <w:r>
        <w:rPr>
          <w:lang w:val="sl-SI"/>
        </w:rPr>
        <w:t xml:space="preserve"> u prethodne tri godine je pokazatelj da se tokom 20</w:t>
      </w:r>
      <w:r w:rsidR="00A017F7">
        <w:rPr>
          <w:lang w:val="sl-SI"/>
        </w:rPr>
        <w:t>13. i</w:t>
      </w:r>
      <w:r>
        <w:rPr>
          <w:lang w:val="sl-SI"/>
        </w:rPr>
        <w:t xml:space="preserve"> 2014. godine smanjivao promet hartijama sa ovog segmenta trgovanja, 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>Blagi rast berzanskih indeksa u 2013</w:t>
      </w:r>
      <w:r w:rsidR="000C3C73">
        <w:rPr>
          <w:lang w:val="sl-SI"/>
        </w:rPr>
        <w:t>. godini je zabilježen na tržištim</w:t>
      </w:r>
      <w:r w:rsidR="00AE4638">
        <w:rPr>
          <w:lang w:val="sl-SI"/>
        </w:rPr>
        <w:t>a: Srbije, Hrvatske i Slovenije, ali je ovaj rast usporio u 2014. godini,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 xml:space="preserve">Na banjalučkoj berzi </w:t>
      </w:r>
      <w:r w:rsidR="00AE4638">
        <w:rPr>
          <w:lang w:val="sl-SI"/>
        </w:rPr>
        <w:t>je u 2012</w:t>
      </w:r>
      <w:r w:rsidR="000C3C73">
        <w:rPr>
          <w:lang w:val="sl-SI"/>
        </w:rPr>
        <w:t xml:space="preserve">. </w:t>
      </w:r>
      <w:r w:rsidR="00AE4638">
        <w:rPr>
          <w:lang w:val="sl-SI"/>
        </w:rPr>
        <w:t>i u 2013. g</w:t>
      </w:r>
      <w:r w:rsidR="000C3C73">
        <w:rPr>
          <w:lang w:val="sl-SI"/>
        </w:rPr>
        <w:t>odini</w:t>
      </w:r>
      <w:r w:rsidR="00AE4638">
        <w:rPr>
          <w:lang w:val="sl-SI"/>
        </w:rPr>
        <w:t xml:space="preserve"> zabilježen rast indeksa FIRS, dok je u 2014. godini ponovo došlo do pada vrijednosti ovoga indeksa, a razlozi za smanjenje ovoga indeksa su prije svega nedostatak interesa stranih investitora, koji su u prethodnim godinama formirali večinske vlasničke pakete akcija u većini zatvorenih inves</w:t>
      </w:r>
      <w:r w:rsidR="00852945">
        <w:rPr>
          <w:lang w:val="sl-SI"/>
        </w:rPr>
        <w:t>ticionih fondova, dok je 2014. g</w:t>
      </w:r>
      <w:r w:rsidR="00AE4638">
        <w:rPr>
          <w:lang w:val="sl-SI"/>
        </w:rPr>
        <w:t>odina prošla u znaku povećanih kupovina akcijama samo dva investiciona fonda na banjalučkoj berz</w:t>
      </w:r>
      <w:r w:rsidR="00950CFD">
        <w:rPr>
          <w:lang w:val="sl-SI"/>
        </w:rPr>
        <w:t xml:space="preserve">i, što je dobrim dijelom uslovilo trend pada berzanskog indeksa fondova.   </w:t>
      </w:r>
    </w:p>
    <w:p w:rsidR="00950CFD" w:rsidRDefault="00950CFD" w:rsidP="00BD3EDE">
      <w:pPr>
        <w:jc w:val="both"/>
        <w:rPr>
          <w:lang w:val="sl-SI"/>
        </w:rPr>
      </w:pPr>
      <w:r>
        <w:rPr>
          <w:lang w:val="sl-SI"/>
        </w:rPr>
        <w:t>U toku 2014.</w:t>
      </w:r>
      <w:r w:rsidR="000C3C73">
        <w:rPr>
          <w:lang w:val="sl-SI"/>
        </w:rPr>
        <w:t xml:space="preserve"> godine, berzanski</w:t>
      </w:r>
      <w:r>
        <w:rPr>
          <w:lang w:val="sl-SI"/>
        </w:rPr>
        <w:t xml:space="preserve"> indeksi na berzama država EU, Amerike i Azije </w:t>
      </w:r>
      <w:r w:rsidR="000C3C73">
        <w:rPr>
          <w:lang w:val="sl-SI"/>
        </w:rPr>
        <w:t>su imali trend rasta, iz čeg</w:t>
      </w:r>
      <w:r w:rsidR="002E4858">
        <w:rPr>
          <w:lang w:val="sl-SI"/>
        </w:rPr>
        <w:t>a</w:t>
      </w:r>
      <w:r w:rsidR="000C3C73">
        <w:rPr>
          <w:lang w:val="sl-SI"/>
        </w:rPr>
        <w:t xml:space="preserve"> se može zaklj</w:t>
      </w:r>
      <w:r>
        <w:rPr>
          <w:lang w:val="sl-SI"/>
        </w:rPr>
        <w:t xml:space="preserve">učiti da je u prethodnoj godini došlo do oporavka i do izlaska iz recesija najveće svjetske ekonomije, i ovaj trend je zabilježen i u većini zemalja zapadne Evrope.  Ekonomski rast je nastavljen i u Kini kao najvećoj azijskoj ekonomiji, što sve skupa predstavlja dobre pokazatelje. </w:t>
      </w:r>
    </w:p>
    <w:p w:rsidR="000C3C73" w:rsidRDefault="00950CFD" w:rsidP="00BD3EDE">
      <w:pPr>
        <w:jc w:val="both"/>
        <w:rPr>
          <w:lang w:val="sl-SI"/>
        </w:rPr>
      </w:pPr>
      <w:r>
        <w:rPr>
          <w:lang w:val="sl-SI"/>
        </w:rPr>
        <w:t xml:space="preserve">Najveći problem ostaje u zemljama Balkana, medju kojima je i BiH, u kojoj se nastavlja stagnacija, i u kjoj nema naznaka da će doći do ekonomskog rasta. 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REALIZACIJA POSLOVNE POLITIKE FONDA</w:t>
      </w:r>
    </w:p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Programom investicionih ciljeva i inv</w:t>
      </w:r>
      <w:r w:rsidR="00C90C53">
        <w:rPr>
          <w:lang w:val="sl-SI"/>
        </w:rPr>
        <w:t>esticione politike fonda za 2014</w:t>
      </w:r>
      <w:r>
        <w:rPr>
          <w:lang w:val="sl-SI"/>
        </w:rPr>
        <w:t>. godinu su postavljeni in</w:t>
      </w:r>
      <w:r w:rsidR="00BD3EDE">
        <w:rPr>
          <w:lang w:val="sl-SI"/>
        </w:rPr>
        <w:t>vesticioni ciljevi fonda i određ</w:t>
      </w:r>
      <w:r>
        <w:rPr>
          <w:lang w:val="sl-SI"/>
        </w:rPr>
        <w:t>ene investicione politike</w:t>
      </w:r>
      <w:r w:rsidR="00C90729">
        <w:rPr>
          <w:lang w:val="sl-SI"/>
        </w:rPr>
        <w:t>,</w:t>
      </w:r>
      <w:r>
        <w:rPr>
          <w:lang w:val="sl-SI"/>
        </w:rPr>
        <w:t xml:space="preserve"> za realizaciju postavljenih investicionih ciljeva fonda.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>Promjena strukture portfelja fonda i nastavak proc</w:t>
      </w:r>
      <w:r w:rsidR="00C90729">
        <w:rPr>
          <w:lang w:val="sl-SI"/>
        </w:rPr>
        <w:t xml:space="preserve">esa </w:t>
      </w:r>
      <w:r>
        <w:rPr>
          <w:lang w:val="sl-SI"/>
        </w:rPr>
        <w:t xml:space="preserve">investiranja </w:t>
      </w:r>
      <w:r w:rsidR="007259C6">
        <w:rPr>
          <w:lang w:val="sl-SI"/>
        </w:rPr>
        <w:t xml:space="preserve">u dužničke hartije </w:t>
      </w:r>
      <w:r>
        <w:rPr>
          <w:lang w:val="sl-SI"/>
        </w:rPr>
        <w:t xml:space="preserve">su bili glavni investicioni ciljevi fonda u </w:t>
      </w:r>
      <w:r w:rsidR="00C90C53">
        <w:rPr>
          <w:lang w:val="sl-SI"/>
        </w:rPr>
        <w:t>2014</w:t>
      </w:r>
      <w:r w:rsidR="00C90729">
        <w:rPr>
          <w:lang w:val="sl-SI"/>
        </w:rPr>
        <w:t>. godini, pored</w:t>
      </w:r>
      <w:r>
        <w:rPr>
          <w:lang w:val="sl-SI"/>
        </w:rPr>
        <w:t xml:space="preserve"> prvog invest</w:t>
      </w:r>
      <w:r w:rsidR="00C90729">
        <w:rPr>
          <w:lang w:val="sl-SI"/>
        </w:rPr>
        <w:t xml:space="preserve">icionog cilja koji je trebalo da obezbijedi </w:t>
      </w:r>
      <w:r>
        <w:rPr>
          <w:lang w:val="sl-SI"/>
        </w:rPr>
        <w:t xml:space="preserve"> održavanje kratkoročne i dugoročne likvidnosti fonda</w:t>
      </w:r>
      <w:r w:rsidR="00C90729">
        <w:rPr>
          <w:lang w:val="sl-SI"/>
        </w:rPr>
        <w:t>.</w:t>
      </w:r>
    </w:p>
    <w:p w:rsidR="000C3C73" w:rsidRDefault="007259C6" w:rsidP="00BD3EDE">
      <w:pPr>
        <w:jc w:val="both"/>
        <w:rPr>
          <w:lang w:val="sl-SI"/>
        </w:rPr>
      </w:pPr>
      <w:r>
        <w:rPr>
          <w:lang w:val="sl-SI"/>
        </w:rPr>
        <w:t>Jedan od investicionih ciljeva fonda je bio održavanje</w:t>
      </w:r>
      <w:r w:rsidR="000C3C73">
        <w:rPr>
          <w:lang w:val="sl-SI"/>
        </w:rPr>
        <w:t xml:space="preserve"> potre</w:t>
      </w:r>
      <w:r w:rsidR="00C90C53">
        <w:rPr>
          <w:lang w:val="sl-SI"/>
        </w:rPr>
        <w:t>bnog nivoa kapitala fonda u 2014</w:t>
      </w:r>
      <w:r>
        <w:rPr>
          <w:lang w:val="sl-SI"/>
        </w:rPr>
        <w:t>. godini, ali je za fond nastao problem zbog blokade novčanog depozita u Bobar banci ad Bijeljina, koja je krajem 2014. godine otišla u likvidaciju, tako da će u 2015. godini biti potrebno da se novom emisijom akcija poveća osnovni kapital fonda, najmanje do nivoa visine depozita koji je ostao u navedenoj banci.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Što se tiče prvog i drugog investicionog cilja </w:t>
      </w:r>
      <w:r w:rsidR="00C90729">
        <w:rPr>
          <w:lang w:val="sl-SI"/>
        </w:rPr>
        <w:t xml:space="preserve">fonda, koji se odnose na održavanje likvidnosti fonda i na održavanje potrebnog nivoa osnovnog kapitala fonda, </w:t>
      </w:r>
      <w:r>
        <w:rPr>
          <w:lang w:val="sl-SI"/>
        </w:rPr>
        <w:t xml:space="preserve">možemo konstatovati da su </w:t>
      </w:r>
      <w:r w:rsidR="00C90729">
        <w:rPr>
          <w:lang w:val="sl-SI"/>
        </w:rPr>
        <w:t xml:space="preserve">ovi investicioni ciljevi u potpunosti ostvareni, tako da je fond, i pored relativno malih novčanih priliva u toku poslovne godine, izvršavao sve svoje finansijske obaveze. 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Promjena strukture portfelja fonda u toku poslovne godine nije značajnije provedena, zbog </w:t>
      </w:r>
      <w:r w:rsidR="00C90729">
        <w:rPr>
          <w:lang w:val="sl-SI"/>
        </w:rPr>
        <w:t xml:space="preserve">male likvidnosti samoga portfelja fonda, ali dijelom i zbog </w:t>
      </w:r>
      <w:r>
        <w:rPr>
          <w:lang w:val="sl-SI"/>
        </w:rPr>
        <w:t>n</w:t>
      </w:r>
      <w:r w:rsidR="00C90729">
        <w:rPr>
          <w:lang w:val="sl-SI"/>
        </w:rPr>
        <w:t xml:space="preserve">elikvidnosti domaće berze, izazvane padom </w:t>
      </w:r>
      <w:r>
        <w:rPr>
          <w:lang w:val="sl-SI"/>
        </w:rPr>
        <w:t xml:space="preserve"> tražnje za </w:t>
      </w:r>
      <w:r w:rsidR="00C90729">
        <w:rPr>
          <w:lang w:val="sl-SI"/>
        </w:rPr>
        <w:t>većinom hartija iz portfelja fonda.</w:t>
      </w:r>
    </w:p>
    <w:p w:rsidR="000C3C73" w:rsidRDefault="00C90729" w:rsidP="00BD3EDE">
      <w:pPr>
        <w:jc w:val="both"/>
        <w:rPr>
          <w:lang w:val="sl-SI"/>
        </w:rPr>
      </w:pPr>
      <w:r>
        <w:rPr>
          <w:lang w:val="sl-SI"/>
        </w:rPr>
        <w:t>Analizom realizovanih kupov</w:t>
      </w:r>
      <w:r w:rsidR="00C90C53">
        <w:rPr>
          <w:lang w:val="sl-SI"/>
        </w:rPr>
        <w:t>nih naloga na fondu, u toku 2014</w:t>
      </w:r>
      <w:r>
        <w:rPr>
          <w:lang w:val="sl-SI"/>
        </w:rPr>
        <w:t>. godine, mož</w:t>
      </w:r>
      <w:r w:rsidR="00BD3EDE">
        <w:rPr>
          <w:lang w:val="sl-SI"/>
        </w:rPr>
        <w:t>e</w:t>
      </w:r>
      <w:r>
        <w:rPr>
          <w:lang w:val="sl-SI"/>
        </w:rPr>
        <w:t>mo konstatovati da je u ime i za račun fonda investirano u novu imovinu fonda relativno malo novčanih srestava, zbog malih novčanih priliva na računu fon</w:t>
      </w:r>
      <w:r w:rsidR="000E4E1D">
        <w:rPr>
          <w:lang w:val="sl-SI"/>
        </w:rPr>
        <w:t>da, od početka do kraja godine, ali da je istovremeno za račun fonda tokom godine investirano više od 80,00 % od svih novčanih priliva fonda.</w:t>
      </w:r>
    </w:p>
    <w:p w:rsidR="00B73969" w:rsidRPr="00D27ABD" w:rsidRDefault="00B73969">
      <w:pPr>
        <w:rPr>
          <w:b/>
          <w:i/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3.1. Prodaja hartija iz portfelja fonda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Poslovnom </w:t>
      </w:r>
      <w:r w:rsidR="00293A9F">
        <w:rPr>
          <w:lang w:val="sl-SI"/>
        </w:rPr>
        <w:t>politikom fonda za 2014</w:t>
      </w:r>
      <w:r w:rsidR="00BD3EDE">
        <w:rPr>
          <w:lang w:val="sl-SI"/>
        </w:rPr>
        <w:t>. godinu je bilo predviđ</w:t>
      </w:r>
      <w:r>
        <w:rPr>
          <w:lang w:val="sl-SI"/>
        </w:rPr>
        <w:t>eno da fond prodaje ulaganja</w:t>
      </w:r>
      <w:r w:rsidR="00576CE5">
        <w:rPr>
          <w:lang w:val="sl-SI"/>
        </w:rPr>
        <w:t xml:space="preserve"> iz svog portfelja, u preduzećima</w:t>
      </w:r>
      <w:r>
        <w:rPr>
          <w:lang w:val="sl-SI"/>
        </w:rPr>
        <w:t xml:space="preserve"> za koja upravni odbor društva za upravljanje procijeni</w:t>
      </w:r>
      <w:r w:rsidR="00576CE5">
        <w:rPr>
          <w:lang w:val="sl-SI"/>
        </w:rPr>
        <w:t xml:space="preserve">, da su loša i realno rizična, a za koja postoji interes </w:t>
      </w:r>
      <w:r w:rsidR="00293A9F">
        <w:rPr>
          <w:lang w:val="sl-SI"/>
        </w:rPr>
        <w:t xml:space="preserve">za kupovine od strane </w:t>
      </w:r>
      <w:r w:rsidR="00576CE5">
        <w:rPr>
          <w:lang w:val="sl-SI"/>
        </w:rPr>
        <w:t xml:space="preserve">većinskih akcionara. </w:t>
      </w:r>
    </w:p>
    <w:p w:rsidR="000C3C73" w:rsidRDefault="00186990" w:rsidP="00BD3EDE">
      <w:pPr>
        <w:jc w:val="both"/>
        <w:rPr>
          <w:lang w:val="sl-SI"/>
        </w:rPr>
      </w:pPr>
      <w:r>
        <w:rPr>
          <w:lang w:val="sl-SI"/>
        </w:rPr>
        <w:lastRenderedPageBreak/>
        <w:t>Društvo je, u skladu sa ovim principima usvojene</w:t>
      </w:r>
      <w:r w:rsidR="00293A9F">
        <w:rPr>
          <w:lang w:val="sl-SI"/>
        </w:rPr>
        <w:t xml:space="preserve"> poslovne politike fonda za 2014</w:t>
      </w:r>
      <w:r>
        <w:rPr>
          <w:lang w:val="sl-SI"/>
        </w:rPr>
        <w:t>. godinu, realizovalo mali broj prodajnih naloga, i nešto veći broj kupovnih naloga, i kao što se vidi u tabelarnom prikazu, svi kupovni nalozi se odnose na kupovine dužničkih hartija.</w:t>
      </w:r>
    </w:p>
    <w:p w:rsidR="000C3C73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C52D0B">
        <w:trPr>
          <w:trHeight w:val="240"/>
        </w:trPr>
        <w:tc>
          <w:tcPr>
            <w:tcW w:w="557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R</w:t>
            </w:r>
            <w:r w:rsidR="00C12136" w:rsidRPr="00C52D0B">
              <w:rPr>
                <w:lang w:val="sl-SI"/>
              </w:rPr>
              <w:t>.</w:t>
            </w:r>
            <w:r w:rsidRPr="00C52D0B">
              <w:rPr>
                <w:lang w:val="sl-SI"/>
              </w:rPr>
              <w:t>b</w:t>
            </w:r>
            <w:r w:rsidR="00C12136" w:rsidRPr="00C52D0B">
              <w:rPr>
                <w:lang w:val="sl-SI"/>
              </w:rPr>
              <w:t>r.</w:t>
            </w:r>
          </w:p>
        </w:tc>
        <w:tc>
          <w:tcPr>
            <w:tcW w:w="1985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Emitent</w:t>
            </w:r>
          </w:p>
        </w:tc>
        <w:tc>
          <w:tcPr>
            <w:tcW w:w="1980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Broj akcija fonda</w:t>
            </w:r>
          </w:p>
        </w:tc>
        <w:tc>
          <w:tcPr>
            <w:tcW w:w="2307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Cijena</w:t>
            </w:r>
          </w:p>
        </w:tc>
        <w:tc>
          <w:tcPr>
            <w:tcW w:w="1810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Vr</w:t>
            </w:r>
            <w:r w:rsidR="008624ED" w:rsidRPr="00C52D0B">
              <w:rPr>
                <w:lang w:val="sl-SI"/>
              </w:rPr>
              <w:t>ij</w:t>
            </w:r>
            <w:r w:rsidRPr="00C52D0B">
              <w:rPr>
                <w:lang w:val="sl-SI"/>
              </w:rPr>
              <w:t>ednost</w:t>
            </w:r>
          </w:p>
        </w:tc>
      </w:tr>
      <w:tr w:rsidR="000C3C73" w:rsidRPr="00C52D0B">
        <w:trPr>
          <w:trHeight w:val="300"/>
        </w:trPr>
        <w:tc>
          <w:tcPr>
            <w:tcW w:w="557" w:type="dxa"/>
          </w:tcPr>
          <w:p w:rsidR="000C3C73" w:rsidRPr="00C52D0B" w:rsidRDefault="000C3C73">
            <w:pPr>
              <w:rPr>
                <w:lang w:val="sl-SI"/>
              </w:rPr>
            </w:pPr>
            <w:r w:rsidRPr="00C52D0B">
              <w:rPr>
                <w:lang w:val="sl-SI"/>
              </w:rPr>
              <w:t>1.</w:t>
            </w:r>
          </w:p>
        </w:tc>
        <w:tc>
          <w:tcPr>
            <w:tcW w:w="1985" w:type="dxa"/>
          </w:tcPr>
          <w:p w:rsidR="000C3C73" w:rsidRPr="00C52D0B" w:rsidRDefault="008624E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Metal a.d. Banja Luka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</w:t>
            </w:r>
          </w:p>
        </w:tc>
        <w:tc>
          <w:tcPr>
            <w:tcW w:w="1980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50.000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              </w:t>
            </w:r>
          </w:p>
        </w:tc>
        <w:tc>
          <w:tcPr>
            <w:tcW w:w="2307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50.000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        </w:t>
            </w:r>
          </w:p>
        </w:tc>
        <w:tc>
          <w:tcPr>
            <w:tcW w:w="843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0,06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</w:t>
            </w:r>
          </w:p>
        </w:tc>
        <w:tc>
          <w:tcPr>
            <w:tcW w:w="1810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3.000,00</w:t>
            </w:r>
            <w:r w:rsidR="000C3C73" w:rsidRPr="00C52D0B">
              <w:rPr>
                <w:sz w:val="20"/>
                <w:szCs w:val="20"/>
                <w:lang w:val="sl-SI"/>
              </w:rPr>
              <w:t>KM</w:t>
            </w:r>
          </w:p>
        </w:tc>
      </w:tr>
      <w:tr w:rsidR="00655412" w:rsidRPr="00C52D0B">
        <w:trPr>
          <w:trHeight w:val="300"/>
        </w:trPr>
        <w:tc>
          <w:tcPr>
            <w:tcW w:w="557" w:type="dxa"/>
          </w:tcPr>
          <w:p w:rsidR="00655412" w:rsidRPr="00C52D0B" w:rsidRDefault="00655412">
            <w:pPr>
              <w:rPr>
                <w:lang w:val="sl-SI"/>
              </w:rPr>
            </w:pPr>
            <w:r w:rsidRPr="00C52D0B">
              <w:rPr>
                <w:lang w:val="sl-SI"/>
              </w:rPr>
              <w:t>2.</w:t>
            </w:r>
          </w:p>
        </w:tc>
        <w:tc>
          <w:tcPr>
            <w:tcW w:w="1985" w:type="dxa"/>
          </w:tcPr>
          <w:p w:rsidR="00655412" w:rsidRPr="00C52D0B" w:rsidRDefault="00655412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Hypo-Alpe-Adria banka ad B. Luka</w:t>
            </w:r>
          </w:p>
        </w:tc>
        <w:tc>
          <w:tcPr>
            <w:tcW w:w="1980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2.919</w:t>
            </w:r>
          </w:p>
        </w:tc>
        <w:tc>
          <w:tcPr>
            <w:tcW w:w="2307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810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 xml:space="preserve">       </w:t>
      </w:r>
    </w:p>
    <w:p w:rsidR="000C3C73" w:rsidRPr="00C52D0B" w:rsidRDefault="000C3C73" w:rsidP="00BD3EDE">
      <w:pPr>
        <w:jc w:val="both"/>
        <w:rPr>
          <w:lang w:val="sl-SI"/>
        </w:rPr>
      </w:pPr>
      <w:r w:rsidRPr="00C52D0B">
        <w:rPr>
          <w:lang w:val="sl-SI"/>
        </w:rPr>
        <w:t>Dru</w:t>
      </w:r>
      <w:r w:rsidR="00655412" w:rsidRPr="00C52D0B">
        <w:rPr>
          <w:lang w:val="sl-SI"/>
        </w:rPr>
        <w:t>štvo je u 2014. godini dalo dva</w:t>
      </w:r>
      <w:r w:rsidR="004A06C6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 naloga za prodaju ha</w:t>
      </w:r>
      <w:r w:rsidR="00655412" w:rsidRPr="00C52D0B">
        <w:rPr>
          <w:lang w:val="sl-SI"/>
        </w:rPr>
        <w:t xml:space="preserve">rtija iz portfelja fonda, ali je </w:t>
      </w:r>
      <w:r w:rsidRPr="00C52D0B">
        <w:rPr>
          <w:lang w:val="sl-SI"/>
        </w:rPr>
        <w:t xml:space="preserve"> realizovan</w:t>
      </w:r>
      <w:r w:rsidR="00655412" w:rsidRPr="00C52D0B">
        <w:rPr>
          <w:lang w:val="sl-SI"/>
        </w:rPr>
        <w:t xml:space="preserve"> samo jedan</w:t>
      </w:r>
      <w:r w:rsidRPr="00C52D0B">
        <w:rPr>
          <w:lang w:val="sl-SI"/>
        </w:rPr>
        <w:t xml:space="preserve"> </w:t>
      </w:r>
      <w:r w:rsidR="00655412" w:rsidRPr="00C52D0B">
        <w:rPr>
          <w:lang w:val="sl-SI"/>
        </w:rPr>
        <w:t>prodajni</w:t>
      </w:r>
      <w:r w:rsidR="004A06C6" w:rsidRPr="00C52D0B">
        <w:rPr>
          <w:lang w:val="sl-SI"/>
        </w:rPr>
        <w:t xml:space="preserve"> </w:t>
      </w:r>
      <w:r w:rsidRPr="00C52D0B">
        <w:rPr>
          <w:lang w:val="sl-SI"/>
        </w:rPr>
        <w:t>nalog, tako da su iz portfelja fonda p</w:t>
      </w:r>
      <w:r w:rsidR="004A06C6" w:rsidRPr="00C52D0B">
        <w:rPr>
          <w:lang w:val="sl-SI"/>
        </w:rPr>
        <w:t>rodate akcij</w:t>
      </w:r>
      <w:r w:rsidR="00655412" w:rsidRPr="00C52D0B">
        <w:rPr>
          <w:lang w:val="sl-SI"/>
        </w:rPr>
        <w:t>e u emitentu »Metal« ad Banja Luka</w:t>
      </w:r>
      <w:r w:rsidR="004A06C6" w:rsidRPr="00C52D0B">
        <w:rPr>
          <w:lang w:val="sl-SI"/>
        </w:rPr>
        <w:t xml:space="preserve">, </w:t>
      </w:r>
      <w:r w:rsidR="00655412" w:rsidRPr="00C52D0B">
        <w:rPr>
          <w:lang w:val="sl-SI"/>
        </w:rPr>
        <w:t xml:space="preserve">dok je drugi prodajni nalog za prodaju akcija emitenta »Hypo-Alpe-Adria« banka ad Banja Luka ostao nerealizovan. 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>3.2. Kupovina hartija za račun fonda</w:t>
      </w:r>
    </w:p>
    <w:p w:rsidR="000C3C73" w:rsidRPr="00C52D0B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330"/>
        <w:gridCol w:w="1260"/>
        <w:gridCol w:w="1530"/>
        <w:gridCol w:w="2944"/>
      </w:tblGrid>
      <w:tr w:rsidR="000C3C73" w:rsidRPr="00C52D0B" w:rsidTr="00AE7179">
        <w:tc>
          <w:tcPr>
            <w:tcW w:w="558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Rb.</w:t>
            </w:r>
          </w:p>
        </w:tc>
        <w:tc>
          <w:tcPr>
            <w:tcW w:w="333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Emitent</w:t>
            </w:r>
          </w:p>
        </w:tc>
        <w:tc>
          <w:tcPr>
            <w:tcW w:w="126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Broj kupljenih hartija</w:t>
            </w:r>
          </w:p>
        </w:tc>
        <w:tc>
          <w:tcPr>
            <w:tcW w:w="153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Prosečne nabavne cijene</w:t>
            </w:r>
          </w:p>
        </w:tc>
        <w:tc>
          <w:tcPr>
            <w:tcW w:w="2944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Vrijednost</w:t>
            </w:r>
          </w:p>
        </w:tc>
      </w:tr>
      <w:tr w:rsidR="000C3C73" w:rsidRPr="00C52D0B" w:rsidTr="00AE7179">
        <w:trPr>
          <w:trHeight w:val="175"/>
        </w:trPr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</w:t>
            </w:r>
          </w:p>
        </w:tc>
        <w:tc>
          <w:tcPr>
            <w:tcW w:w="126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16.066</w:t>
            </w:r>
          </w:p>
          <w:p w:rsidR="000C3C73" w:rsidRPr="00C52D0B" w:rsidRDefault="000C3C73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0,7250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11.838,01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rPr>
          <w:trHeight w:val="301"/>
        </w:trPr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</w:t>
            </w:r>
          </w:p>
        </w:tc>
        <w:tc>
          <w:tcPr>
            <w:tcW w:w="126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4.200</w:t>
            </w:r>
          </w:p>
          <w:p w:rsidR="000C3C73" w:rsidRPr="00C52D0B" w:rsidRDefault="000C3C73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0,7100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3.039,30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III</w:t>
            </w:r>
          </w:p>
        </w:tc>
        <w:tc>
          <w:tcPr>
            <w:tcW w:w="1260" w:type="dxa"/>
          </w:tcPr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10.000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0,7050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7.160,14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4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III</w:t>
            </w:r>
          </w:p>
        </w:tc>
        <w:tc>
          <w:tcPr>
            <w:tcW w:w="1260" w:type="dxa"/>
          </w:tcPr>
          <w:p w:rsidR="000C3C73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7.600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1.500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1.900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0,6679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0,6629</w:t>
            </w:r>
          </w:p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0,6705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5.083,56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995,96</w:t>
            </w:r>
          </w:p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1.275,99</w:t>
            </w:r>
          </w:p>
        </w:tc>
      </w:tr>
      <w:tr w:rsidR="008624ED" w:rsidRPr="00C52D0B" w:rsidTr="00AE7179">
        <w:tc>
          <w:tcPr>
            <w:tcW w:w="558" w:type="dxa"/>
          </w:tcPr>
          <w:p w:rsidR="008624ED" w:rsidRPr="00C52D0B" w:rsidRDefault="00AE7179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5</w:t>
            </w:r>
          </w:p>
        </w:tc>
        <w:tc>
          <w:tcPr>
            <w:tcW w:w="3330" w:type="dxa"/>
          </w:tcPr>
          <w:p w:rsidR="008624ED" w:rsidRPr="00C52D0B" w:rsidRDefault="008624ED" w:rsidP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VII</w:t>
            </w:r>
          </w:p>
          <w:p w:rsidR="008624ED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</w:tcPr>
          <w:p w:rsidR="008624ED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2.850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3.500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3.650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0,6599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0,6501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0,6600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1.917,61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2.320,80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2.456,40</w:t>
            </w:r>
          </w:p>
        </w:tc>
      </w:tr>
      <w:tr w:rsidR="008624ED" w:rsidRPr="00C52D0B" w:rsidTr="00AE7179">
        <w:tc>
          <w:tcPr>
            <w:tcW w:w="558" w:type="dxa"/>
          </w:tcPr>
          <w:p w:rsidR="008624ED" w:rsidRPr="00C52D0B" w:rsidRDefault="00AE7179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</w:t>
            </w:r>
          </w:p>
        </w:tc>
        <w:tc>
          <w:tcPr>
            <w:tcW w:w="3330" w:type="dxa"/>
          </w:tcPr>
          <w:p w:rsidR="008624ED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IX</w:t>
            </w:r>
          </w:p>
        </w:tc>
        <w:tc>
          <w:tcPr>
            <w:tcW w:w="1260" w:type="dxa"/>
          </w:tcPr>
          <w:p w:rsidR="008624ED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5.800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6.200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0,6302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0,6302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3.668,27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3.921,25</w:t>
            </w: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3330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UKUPNO:                             </w:t>
            </w:r>
          </w:p>
        </w:tc>
        <w:tc>
          <w:tcPr>
            <w:tcW w:w="1260" w:type="dxa"/>
          </w:tcPr>
          <w:p w:rsidR="000C3C73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63.266</w:t>
            </w:r>
            <w:r w:rsidR="000C3C73"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                                                         </w:t>
            </w:r>
          </w:p>
        </w:tc>
        <w:tc>
          <w:tcPr>
            <w:tcW w:w="1530" w:type="dxa"/>
          </w:tcPr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0C3C73" w:rsidRPr="00C52D0B" w:rsidRDefault="00AE7179" w:rsidP="00AE7179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43</w:t>
            </w:r>
            <w:r w:rsidR="004F07A3" w:rsidRPr="00C52D0B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677</w:t>
            </w:r>
            <w:r w:rsidR="004F07A3" w:rsidRPr="00C52D0B">
              <w:rPr>
                <w:rFonts w:ascii="Arial" w:hAnsi="Arial" w:cs="Arial"/>
                <w:sz w:val="16"/>
                <w:szCs w:val="16"/>
                <w:lang w:val="sl-SI"/>
              </w:rPr>
              <w:t>,2</w:t>
            </w: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9</w:t>
            </w:r>
            <w:r w:rsidR="000C3C73"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 KM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0A61ED">
        <w:rPr>
          <w:lang w:val="sl-SI"/>
        </w:rPr>
        <w:t xml:space="preserve">tokom 2014. godine </w:t>
      </w:r>
      <w:r>
        <w:rPr>
          <w:lang w:val="sl-SI"/>
        </w:rPr>
        <w:t>vršilo kupovine hartija za račun fonda, u skladu sa po</w:t>
      </w:r>
      <w:r w:rsidR="000A61ED">
        <w:rPr>
          <w:lang w:val="sl-SI"/>
        </w:rPr>
        <w:t>slovnim politikama fonda,</w:t>
      </w:r>
      <w:r>
        <w:rPr>
          <w:lang w:val="sl-SI"/>
        </w:rPr>
        <w:t xml:space="preserve"> radi ostvarenja trećeg investicionog cilja iz programa investicionih ciljeva i inv</w:t>
      </w:r>
      <w:r w:rsidR="000A61ED">
        <w:rPr>
          <w:lang w:val="sl-SI"/>
        </w:rPr>
        <w:t>esticione politike fonda za 2014</w:t>
      </w:r>
      <w:r>
        <w:rPr>
          <w:lang w:val="sl-SI"/>
        </w:rPr>
        <w:t>. godinu, koji se odnosio na kupovine dužničkih hartija u ime i za račun fonda, kako bi se tokom poslovne godine smanjilo učešće akcija u ukupnoj imovini fonda, i ka</w:t>
      </w:r>
      <w:r w:rsidR="000A61ED">
        <w:rPr>
          <w:lang w:val="sl-SI"/>
        </w:rPr>
        <w:t>k</w:t>
      </w:r>
      <w:r>
        <w:rPr>
          <w:lang w:val="sl-SI"/>
        </w:rPr>
        <w:t>o bi se povećalo učeće dužničkih hartija u ukupnoj imovini fonda.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Društ</w:t>
      </w:r>
      <w:r w:rsidR="000A61ED">
        <w:rPr>
          <w:lang w:val="sl-SI"/>
        </w:rPr>
        <w:t>vo je za račun fonda u toku 2014</w:t>
      </w:r>
      <w:r>
        <w:rPr>
          <w:lang w:val="sl-SI"/>
        </w:rPr>
        <w:t>. godine kupovalo obveznice ratne štete: RSRS-</w:t>
      </w:r>
      <w:r w:rsidR="00BD3EDE">
        <w:rPr>
          <w:lang w:val="sl-SI"/>
        </w:rPr>
        <w:t>O-</w:t>
      </w:r>
      <w:r w:rsidR="000A61ED">
        <w:rPr>
          <w:lang w:val="sl-SI"/>
        </w:rPr>
        <w:t>A</w:t>
      </w:r>
      <w:r>
        <w:rPr>
          <w:lang w:val="sl-SI"/>
        </w:rPr>
        <w:t>, R</w:t>
      </w:r>
      <w:r w:rsidR="000A61ED">
        <w:rPr>
          <w:lang w:val="sl-SI"/>
        </w:rPr>
        <w:t>SRS-O-C</w:t>
      </w:r>
      <w:r w:rsidR="00BD3EDE">
        <w:rPr>
          <w:lang w:val="sl-SI"/>
        </w:rPr>
        <w:t xml:space="preserve"> i RSRS-O</w:t>
      </w:r>
      <w:r w:rsidR="000A61ED">
        <w:rPr>
          <w:lang w:val="sl-SI"/>
        </w:rPr>
        <w:t>-G i RSRS-0-I.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Ovim kupovinama društvo </w:t>
      </w:r>
      <w:r w:rsidR="000A61ED">
        <w:rPr>
          <w:lang w:val="sl-SI"/>
        </w:rPr>
        <w:t>je povećalo učešće obveznica</w:t>
      </w:r>
      <w:r w:rsidR="00851A27">
        <w:rPr>
          <w:lang w:val="sl-SI"/>
        </w:rPr>
        <w:t xml:space="preserve"> u ukupnoj imovin</w:t>
      </w:r>
      <w:r w:rsidR="00BD3EDE">
        <w:rPr>
          <w:lang w:val="sl-SI"/>
        </w:rPr>
        <w:t xml:space="preserve">i fonda, </w:t>
      </w:r>
      <w:r w:rsidR="000A61ED">
        <w:rPr>
          <w:lang w:val="sl-SI"/>
        </w:rPr>
        <w:t>čime je povećano učešće ovih hartija u imovini fonda za 1,25 % u odnosu na prethodnu poslovnu godinu, ali je važno istaći da će ove hartije</w:t>
      </w:r>
      <w:r w:rsidR="00BD3EDE">
        <w:rPr>
          <w:lang w:val="sl-SI"/>
        </w:rPr>
        <w:t xml:space="preserve"> fondu donijeti </w:t>
      </w:r>
      <w:r w:rsidR="00851A27">
        <w:rPr>
          <w:lang w:val="sl-SI"/>
        </w:rPr>
        <w:t>nove</w:t>
      </w:r>
      <w:r>
        <w:rPr>
          <w:lang w:val="sl-SI"/>
        </w:rPr>
        <w:t xml:space="preserve"> prihode</w:t>
      </w:r>
      <w:r w:rsidR="000A61ED">
        <w:rPr>
          <w:lang w:val="sl-SI"/>
        </w:rPr>
        <w:t xml:space="preserve"> u 2015. godini </w:t>
      </w:r>
      <w:r w:rsidR="00851A27">
        <w:rPr>
          <w:lang w:val="sl-SI"/>
        </w:rPr>
        <w:t xml:space="preserve">, </w:t>
      </w:r>
      <w:r>
        <w:rPr>
          <w:lang w:val="sl-SI"/>
        </w:rPr>
        <w:t>po osnovu kamata i dospjelih anuiteta ratn</w:t>
      </w:r>
      <w:r w:rsidR="00851A27">
        <w:rPr>
          <w:lang w:val="sl-SI"/>
        </w:rPr>
        <w:t>e štete</w:t>
      </w:r>
      <w:r w:rsidR="000A61ED">
        <w:rPr>
          <w:lang w:val="sl-SI"/>
        </w:rPr>
        <w:t xml:space="preserve">.  </w:t>
      </w:r>
    </w:p>
    <w:p w:rsidR="000C3C73" w:rsidRDefault="00C15BC2" w:rsidP="009B16CC">
      <w:pPr>
        <w:jc w:val="both"/>
        <w:rPr>
          <w:lang w:val="sl-SI"/>
        </w:rPr>
      </w:pPr>
      <w:r>
        <w:rPr>
          <w:lang w:val="sl-SI"/>
        </w:rPr>
        <w:t xml:space="preserve">Analizom </w:t>
      </w:r>
      <w:r w:rsidR="009B16CC">
        <w:rPr>
          <w:lang w:val="sl-SI"/>
        </w:rPr>
        <w:t>p</w:t>
      </w:r>
      <w:r w:rsidR="000C3C73">
        <w:rPr>
          <w:lang w:val="sl-SI"/>
        </w:rPr>
        <w:t xml:space="preserve">regleda kupljenih hartija za račun fonda </w:t>
      </w:r>
      <w:r w:rsidR="000A61ED">
        <w:rPr>
          <w:lang w:val="sl-SI"/>
        </w:rPr>
        <w:t>u 2014</w:t>
      </w:r>
      <w:r>
        <w:rPr>
          <w:lang w:val="sl-SI"/>
        </w:rPr>
        <w:t>. godini, možemo zaključiti</w:t>
      </w:r>
      <w:r w:rsidR="000C3C73">
        <w:rPr>
          <w:lang w:val="sl-SI"/>
        </w:rPr>
        <w:t xml:space="preserve"> da je za realizaciju ovoga investicionog cilja f</w:t>
      </w:r>
      <w:r w:rsidR="000A61ED">
        <w:rPr>
          <w:lang w:val="sl-SI"/>
        </w:rPr>
        <w:t>ond investirao ukupno 43.677,29 KM, iz čega slijedi</w:t>
      </w:r>
      <w:r w:rsidR="000C3C73">
        <w:rPr>
          <w:lang w:val="sl-SI"/>
        </w:rPr>
        <w:t xml:space="preserve"> da je </w:t>
      </w:r>
      <w:r w:rsidR="000A61ED">
        <w:rPr>
          <w:lang w:val="sl-SI"/>
        </w:rPr>
        <w:t xml:space="preserve">najveći dio </w:t>
      </w:r>
      <w:r w:rsidR="000C3C73">
        <w:rPr>
          <w:lang w:val="sl-SI"/>
        </w:rPr>
        <w:t>novčani</w:t>
      </w:r>
      <w:r w:rsidR="000A61ED">
        <w:rPr>
          <w:lang w:val="sl-SI"/>
        </w:rPr>
        <w:t>h priliva, koje je ostvario fond u toku poslovne godine</w:t>
      </w:r>
      <w:r>
        <w:rPr>
          <w:lang w:val="sl-SI"/>
        </w:rPr>
        <w:t xml:space="preserve">, </w:t>
      </w:r>
      <w:r w:rsidR="000C3C73">
        <w:rPr>
          <w:lang w:val="sl-SI"/>
        </w:rPr>
        <w:t>investiran u novu imovinu</w:t>
      </w:r>
      <w:r w:rsidR="00834ABA">
        <w:rPr>
          <w:lang w:val="sl-SI"/>
        </w:rPr>
        <w:t xml:space="preserve"> fonda</w:t>
      </w:r>
      <w:r w:rsidR="000A61ED">
        <w:rPr>
          <w:lang w:val="sl-SI"/>
        </w:rPr>
        <w:t>.</w:t>
      </w:r>
    </w:p>
    <w:p w:rsidR="000C3C73" w:rsidRDefault="000C3C73">
      <w:pPr>
        <w:rPr>
          <w:lang w:val="sl-SI"/>
        </w:rPr>
      </w:pPr>
    </w:p>
    <w:p w:rsidR="000C3C73" w:rsidRDefault="000C3C73" w:rsidP="00D27ABD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lastRenderedPageBreak/>
        <w:t>NETO SREDSTVA I CIJENE AKCIJA</w:t>
      </w:r>
    </w:p>
    <w:p w:rsidR="00D27ABD" w:rsidRPr="00D27ABD" w:rsidRDefault="00D27ABD" w:rsidP="00D27ABD">
      <w:pPr>
        <w:ind w:left="720"/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4.1. Kretanje vr</w:t>
      </w:r>
      <w:r w:rsidR="009B16CC">
        <w:rPr>
          <w:b/>
          <w:i/>
          <w:lang w:val="sl-SI"/>
        </w:rPr>
        <w:t>ij</w:t>
      </w:r>
      <w:r w:rsidRPr="00D27ABD">
        <w:rPr>
          <w:b/>
          <w:i/>
          <w:lang w:val="sl-SI"/>
        </w:rPr>
        <w:t>ednosti neto sredstava fonda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Obračun neto sredstava fonda na </w:t>
      </w:r>
      <w:r w:rsidR="00577032">
        <w:rPr>
          <w:lang w:val="sl-SI"/>
        </w:rPr>
        <w:t>kraju svakog mjeseca</w:t>
      </w:r>
      <w:r>
        <w:rPr>
          <w:lang w:val="sl-SI"/>
        </w:rPr>
        <w:t xml:space="preserve"> vrši Centralni </w:t>
      </w:r>
      <w:r w:rsidR="00577032">
        <w:rPr>
          <w:lang w:val="sl-SI"/>
        </w:rPr>
        <w:t>registar hartija od vrednosti</w:t>
      </w:r>
      <w:r>
        <w:rPr>
          <w:lang w:val="sl-SI"/>
        </w:rPr>
        <w:t xml:space="preserve"> </w:t>
      </w:r>
      <w:r w:rsidR="00F11DFF">
        <w:rPr>
          <w:lang w:val="sl-SI"/>
        </w:rPr>
        <w:t xml:space="preserve">ad Banja Luka </w:t>
      </w:r>
      <w:r>
        <w:rPr>
          <w:lang w:val="sl-SI"/>
        </w:rPr>
        <w:t>kao depozitar fonda</w:t>
      </w:r>
      <w:r w:rsidR="00577032">
        <w:rPr>
          <w:lang w:val="sl-SI"/>
        </w:rPr>
        <w:t xml:space="preserve">, </w:t>
      </w:r>
      <w:r>
        <w:rPr>
          <w:lang w:val="sl-SI"/>
        </w:rPr>
        <w:t xml:space="preserve"> u </w:t>
      </w:r>
      <w:r w:rsidR="009B16CC">
        <w:rPr>
          <w:lang w:val="sl-SI"/>
        </w:rPr>
        <w:t>skladu sa Metodologijom za utvrđ</w:t>
      </w:r>
      <w:r>
        <w:rPr>
          <w:lang w:val="sl-SI"/>
        </w:rPr>
        <w:t>ivanje vrijednosti neto imovine fonda, koju je svojim Pravlini</w:t>
      </w:r>
      <w:r w:rsidR="00C95DA9">
        <w:rPr>
          <w:lang w:val="sl-SI"/>
        </w:rPr>
        <w:t>kom propisala Komisaja.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Vr</w:t>
      </w:r>
      <w:r w:rsidR="009B16CC">
        <w:rPr>
          <w:lang w:val="sl-SI"/>
        </w:rPr>
        <w:t>ij</w:t>
      </w:r>
      <w:r>
        <w:rPr>
          <w:lang w:val="sl-SI"/>
        </w:rPr>
        <w:t>ednost net</w:t>
      </w:r>
      <w:r w:rsidR="00C95DA9">
        <w:rPr>
          <w:lang w:val="sl-SI"/>
        </w:rPr>
        <w:t>o imovine fonda se obračunava na bazi vrijednosti</w:t>
      </w:r>
      <w:r>
        <w:rPr>
          <w:lang w:val="sl-SI"/>
        </w:rPr>
        <w:t xml:space="preserve"> hartija</w:t>
      </w:r>
      <w:r w:rsidR="00C95DA9">
        <w:rPr>
          <w:lang w:val="sl-SI"/>
        </w:rPr>
        <w:t xml:space="preserve">, </w:t>
      </w:r>
      <w:r>
        <w:rPr>
          <w:lang w:val="sl-SI"/>
        </w:rPr>
        <w:t xml:space="preserve"> i druge imovine iz portfelja fonda.</w:t>
      </w:r>
    </w:p>
    <w:p w:rsidR="000C3C73" w:rsidRDefault="00F11DFF" w:rsidP="009B16CC">
      <w:pPr>
        <w:jc w:val="both"/>
        <w:rPr>
          <w:lang w:val="sl-SI"/>
        </w:rPr>
      </w:pPr>
      <w:r>
        <w:rPr>
          <w:lang w:val="sl-SI"/>
        </w:rPr>
        <w:t>U prvih šest mjeseci 2014. godine</w:t>
      </w:r>
      <w:r w:rsidR="000C3C73">
        <w:rPr>
          <w:lang w:val="sl-SI"/>
        </w:rPr>
        <w:t xml:space="preserve"> neto sredstva f</w:t>
      </w:r>
      <w:r w:rsidR="00B75930">
        <w:rPr>
          <w:lang w:val="sl-SI"/>
        </w:rPr>
        <w:t xml:space="preserve">onda su </w:t>
      </w:r>
      <w:r>
        <w:rPr>
          <w:lang w:val="sl-SI"/>
        </w:rPr>
        <w:t>imala blagi rast i manje padove, dok je u drugoj polovini godine došlo do značajnijeg rasta neto imovine fonda, tako da su neto srestva fonda, u odnosu na januar mjesec 2014. godine,  na kraju poslovne godine imala rast od 58.928,89 KM, što predstavlja porast na godišnjem nivou od 9,60 %, a što se vidi u tabeli koja slijedi.</w:t>
      </w:r>
    </w:p>
    <w:p w:rsidR="009B16CC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C52D0B">
        <w:tc>
          <w:tcPr>
            <w:tcW w:w="3078" w:type="dxa"/>
          </w:tcPr>
          <w:p w:rsidR="000C3C73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D27ABD" w:rsidP="00946CE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946CED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1.362.691,59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28.02.2014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946CE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1.369.395,38</w:t>
            </w:r>
          </w:p>
        </w:tc>
      </w:tr>
      <w:tr w:rsidR="00D27ABD" w:rsidRPr="00C52D0B" w:rsidTr="00946CED">
        <w:trPr>
          <w:trHeight w:val="211"/>
        </w:trPr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1.359.310,66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30.04.2014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1.352.838,89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1.352.061,06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1.330.051,93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1.373.132,83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1.386.716,38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30.09.2014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1.377.716,51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31.10.2014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1.392.506,87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1.405.736,89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7E7E67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</w:t>
            </w:r>
            <w:r w:rsidR="007E7E67" w:rsidRPr="00C52D0B">
              <w:rPr>
                <w:sz w:val="20"/>
                <w:szCs w:val="20"/>
                <w:lang w:val="sl-SI"/>
              </w:rPr>
              <w:t>1</w:t>
            </w:r>
            <w:r w:rsidRPr="00C52D0B">
              <w:rPr>
                <w:sz w:val="20"/>
                <w:szCs w:val="20"/>
                <w:lang w:val="sl-SI"/>
              </w:rPr>
              <w:t>.</w:t>
            </w:r>
            <w:r w:rsidR="007E7E67" w:rsidRPr="00C52D0B">
              <w:rPr>
                <w:sz w:val="20"/>
                <w:szCs w:val="20"/>
                <w:lang w:val="sl-SI"/>
              </w:rPr>
              <w:t>620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8</w:t>
            </w:r>
          </w:p>
        </w:tc>
      </w:tr>
    </w:tbl>
    <w:p w:rsidR="000C3C73" w:rsidRPr="00C52D0B" w:rsidRDefault="000C3C73">
      <w:pPr>
        <w:rPr>
          <w:lang w:val="sl-SI"/>
        </w:rPr>
      </w:pPr>
      <w:bookmarkStart w:id="1" w:name="OLE_LINK1"/>
      <w:bookmarkStart w:id="2" w:name="OLE_LINK2"/>
      <w:r w:rsidRPr="00C52D0B">
        <w:rPr>
          <w:lang w:val="sl-SI"/>
        </w:rPr>
        <w:t xml:space="preserve">                                       </w:t>
      </w:r>
    </w:p>
    <w:bookmarkEnd w:id="1"/>
    <w:bookmarkEnd w:id="2"/>
    <w:p w:rsidR="00FC4238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U izvještajnom periodu, počev od januara i zakl</w:t>
      </w:r>
      <w:r w:rsidR="00CC0E41" w:rsidRPr="00C52D0B">
        <w:rPr>
          <w:lang w:val="sl-SI"/>
        </w:rPr>
        <w:t>jučno sa decembrom mjesecom 2014</w:t>
      </w:r>
      <w:r w:rsidRPr="00C52D0B">
        <w:rPr>
          <w:lang w:val="sl-SI"/>
        </w:rPr>
        <w:t xml:space="preserve">. godine, </w:t>
      </w:r>
      <w:r w:rsidR="00B75930" w:rsidRPr="00C52D0B">
        <w:rPr>
          <w:lang w:val="sl-SI"/>
        </w:rPr>
        <w:t>sa manjim ili većim promjenama</w:t>
      </w:r>
      <w:r w:rsidRPr="00C52D0B">
        <w:rPr>
          <w:lang w:val="sl-SI"/>
        </w:rPr>
        <w:t xml:space="preserve"> pojedinačno po mjesecima, vidljivo je da su neto sredstva na</w:t>
      </w:r>
      <w:r w:rsidR="00B75930" w:rsidRPr="00C52D0B">
        <w:rPr>
          <w:lang w:val="sl-SI"/>
        </w:rPr>
        <w:t xml:space="preserve"> </w:t>
      </w:r>
      <w:r w:rsidR="00FC4238" w:rsidRPr="00C52D0B">
        <w:rPr>
          <w:lang w:val="sl-SI"/>
        </w:rPr>
        <w:t xml:space="preserve">godišnjem nivou imala  </w:t>
      </w:r>
      <w:r w:rsidR="00CC0E41" w:rsidRPr="00C52D0B">
        <w:rPr>
          <w:lang w:val="sl-SI"/>
        </w:rPr>
        <w:t>prosječan rast od 8,25</w:t>
      </w:r>
      <w:r w:rsidRPr="00C52D0B">
        <w:rPr>
          <w:lang w:val="sl-SI"/>
        </w:rPr>
        <w:t xml:space="preserve"> %, dok je </w:t>
      </w:r>
      <w:r w:rsidR="00B75930" w:rsidRPr="00C52D0B">
        <w:rPr>
          <w:lang w:val="sl-SI"/>
        </w:rPr>
        <w:t>ovaj rast u prethodnoj poslov</w:t>
      </w:r>
      <w:r w:rsidR="00CC0E41" w:rsidRPr="00C52D0B">
        <w:rPr>
          <w:lang w:val="sl-SI"/>
        </w:rPr>
        <w:t>noj godini iznosio 6,50</w:t>
      </w:r>
      <w:r w:rsidR="00B75930" w:rsidRPr="00C52D0B">
        <w:rPr>
          <w:lang w:val="sl-SI"/>
        </w:rPr>
        <w:t xml:space="preserve"> %</w:t>
      </w:r>
      <w:r w:rsidR="00FC4238" w:rsidRPr="00C52D0B">
        <w:rPr>
          <w:lang w:val="sl-SI"/>
        </w:rPr>
        <w:t>.</w:t>
      </w:r>
    </w:p>
    <w:p w:rsidR="000C3C73" w:rsidRPr="00C52D0B" w:rsidRDefault="00FC4238" w:rsidP="009B16CC">
      <w:pPr>
        <w:jc w:val="both"/>
        <w:rPr>
          <w:lang w:val="sl-SI"/>
        </w:rPr>
      </w:pPr>
      <w:r w:rsidRPr="00C52D0B">
        <w:rPr>
          <w:lang w:val="sl-SI"/>
        </w:rPr>
        <w:t>N</w:t>
      </w:r>
      <w:r w:rsidR="00CC0E41" w:rsidRPr="00C52D0B">
        <w:rPr>
          <w:lang w:val="sl-SI"/>
        </w:rPr>
        <w:t xml:space="preserve">eto srestva fonda su imala najveći rast u četvrtom kvartalu 2014. </w:t>
      </w:r>
      <w:r w:rsidR="00097875" w:rsidRPr="00C52D0B">
        <w:rPr>
          <w:lang w:val="sl-SI"/>
        </w:rPr>
        <w:t>g</w:t>
      </w:r>
      <w:r w:rsidR="00CC0E41" w:rsidRPr="00C52D0B">
        <w:rPr>
          <w:lang w:val="sl-SI"/>
        </w:rPr>
        <w:t>odine, a najveći rast je ostvaren u decembru mjesecu</w:t>
      </w:r>
      <w:r w:rsidR="00097875" w:rsidRPr="00C52D0B">
        <w:rPr>
          <w:lang w:val="sl-SI"/>
        </w:rPr>
        <w:t>.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ind w:left="360"/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Pregled kretan</w:t>
      </w:r>
      <w:r w:rsidR="00F77F06" w:rsidRPr="00C52D0B">
        <w:rPr>
          <w:sz w:val="20"/>
          <w:szCs w:val="20"/>
          <w:lang w:val="sl-SI"/>
        </w:rPr>
        <w:t>ja</w:t>
      </w:r>
      <w:r w:rsidR="005618C7" w:rsidRPr="00C52D0B">
        <w:rPr>
          <w:sz w:val="20"/>
          <w:szCs w:val="20"/>
          <w:lang w:val="sl-SI"/>
        </w:rPr>
        <w:t xml:space="preserve"> neto sredstava fonda po akciji</w:t>
      </w:r>
      <w:r w:rsidR="005419A7" w:rsidRPr="00C52D0B">
        <w:rPr>
          <w:sz w:val="20"/>
          <w:szCs w:val="20"/>
          <w:lang w:val="sl-SI"/>
        </w:rPr>
        <w:t xml:space="preserve"> u 201</w:t>
      </w:r>
      <w:r w:rsidR="005926AB" w:rsidRPr="00C52D0B">
        <w:rPr>
          <w:sz w:val="20"/>
          <w:szCs w:val="20"/>
          <w:lang w:val="sl-SI"/>
        </w:rPr>
        <w:t>4</w:t>
      </w:r>
      <w:r w:rsidRPr="00C52D0B">
        <w:rPr>
          <w:sz w:val="20"/>
          <w:szCs w:val="20"/>
          <w:lang w:val="sl-SI"/>
        </w:rPr>
        <w:t xml:space="preserve">. </w:t>
      </w:r>
      <w:r w:rsidR="005419A7" w:rsidRPr="00C52D0B">
        <w:rPr>
          <w:sz w:val="20"/>
          <w:szCs w:val="20"/>
          <w:lang w:val="sl-SI"/>
        </w:rPr>
        <w:t>g</w:t>
      </w:r>
      <w:r w:rsidRPr="00C52D0B">
        <w:rPr>
          <w:sz w:val="20"/>
          <w:szCs w:val="20"/>
          <w:lang w:val="sl-SI"/>
        </w:rPr>
        <w:t>odini</w:t>
      </w:r>
    </w:p>
    <w:p w:rsidR="00D27ABD" w:rsidRPr="00C52D0B" w:rsidRDefault="00F77F06" w:rsidP="00D27ABD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1818"/>
        <w:gridCol w:w="3330"/>
      </w:tblGrid>
      <w:tr w:rsidR="00D27ABD" w:rsidRPr="00C52D0B" w:rsidTr="00D27ABD">
        <w:tc>
          <w:tcPr>
            <w:tcW w:w="1818" w:type="dxa"/>
          </w:tcPr>
          <w:p w:rsidR="00D27ABD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330" w:type="dxa"/>
          </w:tcPr>
          <w:p w:rsidR="00D27ABD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5926A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5926A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5926A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28.02.201</w:t>
            </w:r>
            <w:r w:rsidR="005926AB" w:rsidRPr="00C52D0B"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0,60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30.04.</w:t>
            </w:r>
            <w:r w:rsidR="005926AB" w:rsidRPr="00C52D0B">
              <w:rPr>
                <w:sz w:val="20"/>
                <w:szCs w:val="20"/>
                <w:lang w:val="sl-SI"/>
              </w:rPr>
              <w:t>2014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0,60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30.09.2014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31.10.2014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</w:tr>
    </w:tbl>
    <w:p w:rsidR="005419A7" w:rsidRDefault="00F77F06" w:rsidP="00FC4238">
      <w:pPr>
        <w:rPr>
          <w:lang w:val="sl-SI"/>
        </w:rPr>
      </w:pPr>
      <w:r>
        <w:rPr>
          <w:lang w:val="sl-SI"/>
        </w:rPr>
        <w:lastRenderedPageBreak/>
        <w:tab/>
      </w:r>
      <w:r>
        <w:rPr>
          <w:lang w:val="sl-SI"/>
        </w:rPr>
        <w:tab/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Što se tiče kretanja vrijednosti net</w:t>
      </w:r>
      <w:r w:rsidR="003A2DC1">
        <w:rPr>
          <w:lang w:val="sl-SI"/>
        </w:rPr>
        <w:t>o imovine fonda po akciji u 2014</w:t>
      </w:r>
      <w:r>
        <w:rPr>
          <w:lang w:val="sl-SI"/>
        </w:rPr>
        <w:t xml:space="preserve">. godini, uočljiv je trend </w:t>
      </w:r>
      <w:r w:rsidR="002F5000">
        <w:rPr>
          <w:lang w:val="sl-SI"/>
        </w:rPr>
        <w:t xml:space="preserve">pada i trend </w:t>
      </w:r>
      <w:r>
        <w:rPr>
          <w:lang w:val="sl-SI"/>
        </w:rPr>
        <w:t xml:space="preserve">porasta, pošto je vrijednost neto </w:t>
      </w:r>
      <w:r w:rsidR="002F5000">
        <w:rPr>
          <w:lang w:val="sl-SI"/>
        </w:rPr>
        <w:t>imovine fonda po akciji, sa 0,61 KM po akciji, u januaru mjesecu pala na 0,59 KM po akciji fonda u maju i u junu</w:t>
      </w:r>
      <w:r>
        <w:rPr>
          <w:lang w:val="sl-SI"/>
        </w:rPr>
        <w:t xml:space="preserve"> mjesecu 2</w:t>
      </w:r>
      <w:r w:rsidR="002F5000">
        <w:rPr>
          <w:lang w:val="sl-SI"/>
        </w:rPr>
        <w:t>014</w:t>
      </w:r>
      <w:r>
        <w:rPr>
          <w:lang w:val="sl-SI"/>
        </w:rPr>
        <w:t xml:space="preserve">. godine, </w:t>
      </w:r>
      <w:r w:rsidR="002F5000">
        <w:rPr>
          <w:lang w:val="sl-SI"/>
        </w:rPr>
        <w:t xml:space="preserve">da bi u četvrtom kvartalu godine ponovo došlo do porasta neto sredstava po akciji fonda. </w:t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Vrijednost neto imovine fonda po akciji</w:t>
      </w:r>
      <w:r w:rsidR="002F5000">
        <w:rPr>
          <w:lang w:val="sl-SI"/>
        </w:rPr>
        <w:t xml:space="preserve"> je imala najnižu vrijednost u maju mjesecu, a najvišu vrijednost je dostigla u novembru i u decembru mjesecu 2014. godine. 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4"/>
        </w:numPr>
        <w:rPr>
          <w:lang w:val="sl-SI"/>
        </w:rPr>
      </w:pPr>
      <w:r w:rsidRPr="00C52D0B">
        <w:rPr>
          <w:lang w:val="sl-SI"/>
        </w:rPr>
        <w:t>Kretanje cijena akcija fonda: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790"/>
      </w:tblGrid>
      <w:tr w:rsidR="000C3C73" w:rsidRPr="00C52D0B">
        <w:tc>
          <w:tcPr>
            <w:tcW w:w="2148" w:type="dxa"/>
            <w:vAlign w:val="bottom"/>
          </w:tcPr>
          <w:p w:rsidR="000C3C73" w:rsidRPr="00C52D0B" w:rsidRDefault="006B2499" w:rsidP="007E7E67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01.01.201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6B2499" w:rsidP="007E7E67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7E7E67" w:rsidRPr="00C52D0B"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28.02.2014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30.04.2014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 w:rsidP="009B16CC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0C3C73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</w:t>
            </w:r>
            <w:r w:rsidR="007E7E67" w:rsidRPr="00C52D0B">
              <w:rPr>
                <w:sz w:val="20"/>
                <w:szCs w:val="20"/>
                <w:lang w:val="sl-SI"/>
              </w:rPr>
              <w:t>.09.2014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0B54AD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</w:t>
            </w:r>
            <w:r w:rsidR="007E7E67" w:rsidRPr="00C52D0B">
              <w:rPr>
                <w:sz w:val="20"/>
                <w:szCs w:val="20"/>
                <w:lang w:val="sl-SI"/>
              </w:rPr>
              <w:t>.10.2014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D27ABD" w:rsidP="00D27AB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</w:t>
            </w:r>
            <w:r w:rsidR="007E7E67" w:rsidRPr="00C52D0B">
              <w:rPr>
                <w:sz w:val="20"/>
                <w:szCs w:val="20"/>
                <w:lang w:val="sl-SI"/>
              </w:rPr>
              <w:t>31.12.2014</w:t>
            </w:r>
            <w:r w:rsidR="000B54A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</w:tbl>
    <w:p w:rsidR="00FC4238" w:rsidRPr="00C52D0B" w:rsidRDefault="00FC4238">
      <w:pPr>
        <w:ind w:left="480"/>
        <w:rPr>
          <w:lang w:val="sl-SI"/>
        </w:rPr>
      </w:pPr>
    </w:p>
    <w:p w:rsidR="00FC4238" w:rsidRPr="00C52D0B" w:rsidRDefault="00617E0B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Promet akcijama fonda tokom 2014. godine je bio na </w:t>
      </w:r>
      <w:r w:rsidR="00FC4238" w:rsidRPr="00C52D0B">
        <w:rPr>
          <w:lang w:val="sl-SI"/>
        </w:rPr>
        <w:t>niskom nivou, pošto je na godišnjem nivou, p</w:t>
      </w:r>
      <w:r w:rsidR="009B16CC" w:rsidRPr="00C52D0B">
        <w:rPr>
          <w:lang w:val="sl-SI"/>
        </w:rPr>
        <w:t>u</w:t>
      </w:r>
      <w:r w:rsidRPr="00C52D0B">
        <w:rPr>
          <w:lang w:val="sl-SI"/>
        </w:rPr>
        <w:t>tem pet prodajnih</w:t>
      </w:r>
      <w:r w:rsidR="00FC4238" w:rsidRPr="00C52D0B">
        <w:rPr>
          <w:lang w:val="sl-SI"/>
        </w:rPr>
        <w:t xml:space="preserve"> naloga prometovano </w:t>
      </w:r>
      <w:r w:rsidRPr="00C52D0B">
        <w:rPr>
          <w:lang w:val="sl-SI"/>
        </w:rPr>
        <w:t>ukupno 2</w:t>
      </w:r>
      <w:r w:rsidR="00DE72EE" w:rsidRPr="00C52D0B">
        <w:rPr>
          <w:lang w:val="sl-SI"/>
        </w:rPr>
        <w:t>8.500 akcija.</w:t>
      </w:r>
    </w:p>
    <w:p w:rsidR="00DE72EE" w:rsidRPr="00C52D0B" w:rsidRDefault="00DE72EE" w:rsidP="009B16CC">
      <w:pPr>
        <w:jc w:val="both"/>
        <w:rPr>
          <w:lang w:val="sl-SI"/>
        </w:rPr>
      </w:pPr>
      <w:r w:rsidRPr="00C52D0B">
        <w:rPr>
          <w:lang w:val="sl-SI"/>
        </w:rPr>
        <w:t>Akcijama fonda</w:t>
      </w:r>
      <w:r w:rsidR="00617E0B" w:rsidRPr="00C52D0B">
        <w:rPr>
          <w:lang w:val="sl-SI"/>
        </w:rPr>
        <w:t xml:space="preserve"> se trgovalo po cijenama od 0,6 KM po u prvom kvartalu 2014. godine, do 0,48 KM u četvrtom kvartalu godine.</w:t>
      </w:r>
    </w:p>
    <w:p w:rsidR="00617E0B" w:rsidRPr="00C52D0B" w:rsidRDefault="00DE72EE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Imajući u vidu činjenicu da fond ima relativno mali osnovni kapital, i da od </w:t>
      </w:r>
      <w:r w:rsidR="00617E0B" w:rsidRPr="00C52D0B">
        <w:rPr>
          <w:lang w:val="sl-SI"/>
        </w:rPr>
        <w:t>njegovog osnivanja do kraja 2014</w:t>
      </w:r>
      <w:r w:rsidRPr="00C52D0B">
        <w:rPr>
          <w:lang w:val="sl-SI"/>
        </w:rPr>
        <w:t>. godine, nije bilo po</w:t>
      </w:r>
      <w:r w:rsidR="00617E0B" w:rsidRPr="00C52D0B">
        <w:rPr>
          <w:lang w:val="sl-SI"/>
        </w:rPr>
        <w:t>većanja osnovnog kapitala fonda</w:t>
      </w:r>
      <w:r w:rsidRPr="00C52D0B">
        <w:rPr>
          <w:lang w:val="sl-SI"/>
        </w:rPr>
        <w:t xml:space="preserve"> putem javnih emisija akcija, ne postoji interes investitora za kupovinu njegovih</w:t>
      </w:r>
      <w:r w:rsidR="00617E0B" w:rsidRPr="00C52D0B">
        <w:rPr>
          <w:lang w:val="sl-SI"/>
        </w:rPr>
        <w:t xml:space="preserve"> akcija, obzirom</w:t>
      </w:r>
      <w:r w:rsidR="009B16CC" w:rsidRPr="00C52D0B">
        <w:rPr>
          <w:lang w:val="sl-SI"/>
        </w:rPr>
        <w:t xml:space="preserve"> da </w:t>
      </w:r>
      <w:r w:rsidRPr="00C52D0B">
        <w:rPr>
          <w:lang w:val="sl-SI"/>
        </w:rPr>
        <w:t xml:space="preserve">akcijama fonda trguju postojeći akcionari fonda, koji su istovremeno i vlasnici </w:t>
      </w:r>
      <w:r w:rsidR="00617E0B" w:rsidRPr="00C52D0B">
        <w:rPr>
          <w:lang w:val="sl-SI"/>
        </w:rPr>
        <w:t>osnivačkih akcija fonda.</w:t>
      </w:r>
    </w:p>
    <w:p w:rsidR="00DE72EE" w:rsidRPr="00C52D0B" w:rsidRDefault="001E4F1A" w:rsidP="009B16CC">
      <w:pPr>
        <w:jc w:val="both"/>
        <w:rPr>
          <w:lang w:val="sl-SI"/>
        </w:rPr>
      </w:pPr>
      <w:r w:rsidRPr="00C52D0B">
        <w:rPr>
          <w:lang w:val="sl-SI"/>
        </w:rPr>
        <w:t>Cijenim</w:t>
      </w:r>
      <w:r w:rsidR="00617E0B" w:rsidRPr="00C52D0B">
        <w:rPr>
          <w:lang w:val="sl-SI"/>
        </w:rPr>
        <w:t xml:space="preserve">o da će se ovaj trend promijeniti nakon druge emisije akcija koja se očekuje utoku 2015. godine, i </w:t>
      </w:r>
      <w:r w:rsidR="00DE72EE" w:rsidRPr="00C52D0B">
        <w:rPr>
          <w:lang w:val="sl-SI"/>
        </w:rPr>
        <w:t xml:space="preserve"> </w:t>
      </w:r>
      <w:r w:rsidR="00617E0B" w:rsidRPr="00C52D0B">
        <w:rPr>
          <w:lang w:val="sl-SI"/>
        </w:rPr>
        <w:t xml:space="preserve">smatramo da će </w:t>
      </w:r>
      <w:r w:rsidR="00BB58D1" w:rsidRPr="00C52D0B">
        <w:rPr>
          <w:lang w:val="sl-SI"/>
        </w:rPr>
        <w:t xml:space="preserve">nova emisija akcija, osim povećanja osnovnog kapitala fonda, povećati i interes eksternih investitora za kupovinama akcija fonda do kraja 2015. godine. </w:t>
      </w:r>
    </w:p>
    <w:p w:rsidR="004B785F" w:rsidRPr="00C52D0B" w:rsidRDefault="00D27ABD" w:rsidP="00D27ABD">
      <w:pPr>
        <w:rPr>
          <w:lang w:val="sl-SI"/>
        </w:rPr>
      </w:pPr>
      <w:r w:rsidRPr="00C52D0B">
        <w:rPr>
          <w:lang w:val="sl-SI"/>
        </w:rPr>
        <w:t xml:space="preserve">                   </w:t>
      </w:r>
    </w:p>
    <w:p w:rsidR="004B785F" w:rsidRPr="007E7E67" w:rsidRDefault="004B785F" w:rsidP="00564D58">
      <w:pPr>
        <w:rPr>
          <w:color w:val="FF0000"/>
          <w:lang w:val="sl-SI"/>
        </w:rPr>
      </w:pPr>
      <w:r w:rsidRPr="00C52D0B">
        <w:rPr>
          <w:lang w:val="sl-SI"/>
        </w:rPr>
        <w:t>Struktura portfelja fonda na dan 31.12.201</w:t>
      </w:r>
      <w:r w:rsidR="007E7E67" w:rsidRPr="00C52D0B">
        <w:rPr>
          <w:lang w:val="sl-SI"/>
        </w:rPr>
        <w:t>4</w:t>
      </w:r>
      <w:r w:rsidRPr="00C52D0B">
        <w:rPr>
          <w:lang w:val="sl-SI"/>
        </w:rPr>
        <w:t>. godine</w:t>
      </w:r>
      <w:r w:rsidRPr="007E7E67">
        <w:rPr>
          <w:color w:val="FF0000"/>
          <w:lang w:val="sl-SI"/>
        </w:rPr>
        <w:t xml:space="preserve">: </w:t>
      </w:r>
    </w:p>
    <w:p w:rsidR="000C3C73" w:rsidRDefault="000C3C73">
      <w:pPr>
        <w:rPr>
          <w:lang w:val="sl-SI"/>
        </w:rPr>
      </w:pPr>
    </w:p>
    <w:p w:rsidR="000C3C73" w:rsidRDefault="00CC7D0D" w:rsidP="009B16CC">
      <w:pPr>
        <w:jc w:val="both"/>
        <w:rPr>
          <w:lang w:val="sl-SI"/>
        </w:rPr>
      </w:pPr>
      <w:r>
        <w:rPr>
          <w:lang w:val="sl-SI"/>
        </w:rPr>
        <w:t>Analizom strukture</w:t>
      </w:r>
      <w:r w:rsidR="000C3C73">
        <w:rPr>
          <w:lang w:val="sl-SI"/>
        </w:rPr>
        <w:t xml:space="preserve"> portfelja fonda </w:t>
      </w:r>
      <w:r w:rsidR="00BB58D1">
        <w:rPr>
          <w:lang w:val="sl-SI"/>
        </w:rPr>
        <w:t>na dan 31.12.2014</w:t>
      </w:r>
      <w:r>
        <w:rPr>
          <w:lang w:val="sl-SI"/>
        </w:rPr>
        <w:t xml:space="preserve">. godine, možemo zaključiti da </w:t>
      </w:r>
      <w:r w:rsidR="000C3C73">
        <w:rPr>
          <w:lang w:val="sl-SI"/>
        </w:rPr>
        <w:t xml:space="preserve">je </w:t>
      </w:r>
      <w:r>
        <w:rPr>
          <w:lang w:val="sl-SI"/>
        </w:rPr>
        <w:t xml:space="preserve">tokom godine </w:t>
      </w:r>
      <w:r w:rsidR="000C3C73">
        <w:rPr>
          <w:lang w:val="sl-SI"/>
        </w:rPr>
        <w:t>došlo do ma</w:t>
      </w:r>
      <w:r w:rsidR="00C73C17">
        <w:rPr>
          <w:lang w:val="sl-SI"/>
        </w:rPr>
        <w:t xml:space="preserve">njih promjena u portfelju fonda, po vrstama imovine fonda, </w:t>
      </w:r>
      <w:r w:rsidR="000C3C73">
        <w:rPr>
          <w:lang w:val="sl-SI"/>
        </w:rPr>
        <w:t xml:space="preserve"> zbog rasta učešća dužničkih hartija u ukupnoj imovini fonda, </w:t>
      </w:r>
      <w:r w:rsidR="008D6017">
        <w:rPr>
          <w:lang w:val="sl-SI"/>
        </w:rPr>
        <w:t>i porasta</w:t>
      </w:r>
      <w:r w:rsidR="00C73C17">
        <w:rPr>
          <w:lang w:val="sl-SI"/>
        </w:rPr>
        <w:t xml:space="preserve"> vrijednosti </w:t>
      </w:r>
      <w:r w:rsidR="008D6017">
        <w:rPr>
          <w:lang w:val="sl-SI"/>
        </w:rPr>
        <w:t>imovine fond, kako u</w:t>
      </w:r>
      <w:r w:rsidR="00C73C17">
        <w:rPr>
          <w:lang w:val="sl-SI"/>
        </w:rPr>
        <w:t xml:space="preserve"> akcijama fonda, </w:t>
      </w:r>
      <w:r w:rsidR="008D6017">
        <w:rPr>
          <w:lang w:val="sl-SI"/>
        </w:rPr>
        <w:t>tako i obveznicama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U sl</w:t>
      </w:r>
      <w:r w:rsidR="009B16CC">
        <w:rPr>
          <w:lang w:val="sl-SI"/>
        </w:rPr>
        <w:t>j</w:t>
      </w:r>
      <w:r>
        <w:rPr>
          <w:lang w:val="sl-SI"/>
        </w:rPr>
        <w:t>edećoj tabeli ćemo prikazati strukturu imovine f</w:t>
      </w:r>
      <w:r w:rsidR="008D6017">
        <w:rPr>
          <w:lang w:val="sl-SI"/>
        </w:rPr>
        <w:t>onda, po granama privrede u 2013. godini i u 2014</w:t>
      </w:r>
      <w:r>
        <w:rPr>
          <w:lang w:val="sl-SI"/>
        </w:rPr>
        <w:t>. godini:</w:t>
      </w:r>
    </w:p>
    <w:p w:rsidR="000C3C73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620"/>
        <w:gridCol w:w="1720"/>
        <w:gridCol w:w="1590"/>
        <w:gridCol w:w="1524"/>
      </w:tblGrid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620" w:type="dxa"/>
          </w:tcPr>
          <w:p w:rsidR="000C3C73" w:rsidRPr="00D27ABD" w:rsidRDefault="004E0727" w:rsidP="007E7E6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</w:t>
            </w:r>
            <w:r w:rsidR="007E7E67">
              <w:rPr>
                <w:sz w:val="20"/>
                <w:szCs w:val="20"/>
                <w:lang w:val="sl-SI"/>
              </w:rPr>
              <w:t>4.</w:t>
            </w:r>
            <w:r w:rsidRPr="00D27ABD">
              <w:rPr>
                <w:sz w:val="20"/>
                <w:szCs w:val="20"/>
                <w:lang w:val="sl-SI"/>
              </w:rPr>
              <w:t xml:space="preserve">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</w:t>
            </w:r>
            <w:r w:rsidR="007E7E67">
              <w:rPr>
                <w:sz w:val="20"/>
                <w:szCs w:val="20"/>
                <w:lang w:val="sl-SI"/>
              </w:rPr>
              <w:t>ij</w:t>
            </w:r>
            <w:r w:rsidR="000C3C73" w:rsidRPr="00D27ABD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720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</w:t>
            </w:r>
            <w:r w:rsidR="000C3C73" w:rsidRPr="00D27ABD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90" w:type="dxa"/>
          </w:tcPr>
          <w:p w:rsidR="000C3C73" w:rsidRPr="00D27ABD" w:rsidRDefault="00C73C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31.12.2013</w:t>
            </w:r>
            <w:r w:rsidR="007E7E67">
              <w:rPr>
                <w:sz w:val="20"/>
                <w:szCs w:val="20"/>
                <w:lang w:val="sl-SI"/>
              </w:rPr>
              <w:t>.</w:t>
            </w:r>
            <w:r w:rsidR="004E0727" w:rsidRPr="00D27ABD">
              <w:rPr>
                <w:sz w:val="20"/>
                <w:szCs w:val="20"/>
                <w:lang w:val="sl-SI"/>
              </w:rPr>
              <w:t xml:space="preserve">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</w:t>
            </w:r>
            <w:r w:rsidR="007E7E67">
              <w:rPr>
                <w:sz w:val="20"/>
                <w:szCs w:val="20"/>
                <w:lang w:val="sl-SI"/>
              </w:rPr>
              <w:t>ij</w:t>
            </w:r>
            <w:r w:rsidR="000C3C73" w:rsidRPr="00D27ABD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524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%                                     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6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65.991,25</w:t>
            </w:r>
          </w:p>
        </w:tc>
        <w:tc>
          <w:tcPr>
            <w:tcW w:w="17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4,64%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69.795,04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  <w:r w:rsidR="00EE64A7" w:rsidRPr="00D27ABD">
              <w:rPr>
                <w:sz w:val="20"/>
                <w:szCs w:val="20"/>
                <w:lang w:val="sl-SI"/>
              </w:rPr>
              <w:t>,01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6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</w:t>
            </w:r>
            <w:r w:rsidR="004E1621">
              <w:rPr>
                <w:sz w:val="20"/>
                <w:szCs w:val="20"/>
                <w:lang w:val="sl-SI"/>
              </w:rPr>
              <w:t>2.802,93</w:t>
            </w:r>
          </w:p>
        </w:tc>
        <w:tc>
          <w:tcPr>
            <w:tcW w:w="17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0,90 %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80.328,86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6,30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1.734,69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0,12 %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</w:t>
            </w:r>
            <w:r w:rsidR="00EE64A7" w:rsidRPr="00D27ABD">
              <w:rPr>
                <w:sz w:val="20"/>
                <w:szCs w:val="20"/>
                <w:lang w:val="sl-SI"/>
              </w:rPr>
              <w:t>834,30</w:t>
            </w:r>
          </w:p>
        </w:tc>
        <w:tc>
          <w:tcPr>
            <w:tcW w:w="1524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0,013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lastRenderedPageBreak/>
              <w:t>4</w:t>
            </w:r>
          </w:p>
        </w:tc>
        <w:tc>
          <w:tcPr>
            <w:tcW w:w="2610" w:type="dxa"/>
          </w:tcPr>
          <w:p w:rsidR="000C3C73" w:rsidRPr="00D27ABD" w:rsidRDefault="009514EC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Zatvoreni inves. f</w:t>
            </w:r>
            <w:r w:rsidR="000C3C73" w:rsidRPr="00D27ABD">
              <w:rPr>
                <w:sz w:val="20"/>
                <w:szCs w:val="20"/>
                <w:lang w:val="sl-SI"/>
              </w:rPr>
              <w:t>ondovi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55.445,02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3,90 %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58.327,55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4,58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</w:t>
            </w:r>
            <w:r w:rsidR="004E1621">
              <w:rPr>
                <w:sz w:val="20"/>
                <w:szCs w:val="20"/>
                <w:lang w:val="sl-SI"/>
              </w:rPr>
              <w:t xml:space="preserve">     </w:t>
            </w:r>
            <w:r w:rsidRPr="00D27ABD">
              <w:rPr>
                <w:sz w:val="20"/>
                <w:szCs w:val="20"/>
                <w:lang w:val="sl-SI"/>
              </w:rPr>
              <w:t xml:space="preserve">  1.000,00</w:t>
            </w:r>
          </w:p>
        </w:tc>
        <w:tc>
          <w:tcPr>
            <w:tcW w:w="1524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189.428,17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13,32 %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</w:t>
            </w:r>
            <w:r w:rsidR="004E1621">
              <w:rPr>
                <w:sz w:val="20"/>
                <w:szCs w:val="20"/>
                <w:lang w:val="sl-SI"/>
              </w:rPr>
              <w:t xml:space="preserve">     </w:t>
            </w:r>
            <w:r w:rsidRPr="00D27ABD">
              <w:rPr>
                <w:sz w:val="20"/>
                <w:szCs w:val="20"/>
                <w:lang w:val="sl-SI"/>
              </w:rPr>
              <w:t xml:space="preserve"> 201.688,35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13</w:t>
            </w:r>
            <w:r w:rsidR="009514EC" w:rsidRPr="00D27ABD">
              <w:rPr>
                <w:sz w:val="20"/>
                <w:szCs w:val="20"/>
                <w:lang w:val="sl-SI"/>
              </w:rPr>
              <w:t>,83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2.120,00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0,14 %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991,65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28,53 %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</w:t>
            </w:r>
            <w:r w:rsidR="004E1621">
              <w:rPr>
                <w:sz w:val="20"/>
                <w:szCs w:val="20"/>
                <w:lang w:val="sl-SI"/>
              </w:rPr>
              <w:t xml:space="preserve">    </w:t>
            </w:r>
            <w:r w:rsidRPr="00D27ABD">
              <w:rPr>
                <w:sz w:val="20"/>
                <w:szCs w:val="20"/>
                <w:lang w:val="sl-SI"/>
              </w:rPr>
              <w:t xml:space="preserve">   3</w:t>
            </w:r>
            <w:r w:rsidR="009514EC" w:rsidRPr="00D27ABD">
              <w:rPr>
                <w:sz w:val="20"/>
                <w:szCs w:val="20"/>
                <w:lang w:val="sl-SI"/>
              </w:rPr>
              <w:t>48.847,00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27,36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39,87 %</w:t>
            </w:r>
          </w:p>
        </w:tc>
        <w:tc>
          <w:tcPr>
            <w:tcW w:w="1590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420</w:t>
            </w:r>
            <w:r w:rsidR="000C3C73" w:rsidRPr="00D27ABD">
              <w:rPr>
                <w:sz w:val="20"/>
                <w:szCs w:val="20"/>
                <w:lang w:val="sl-SI"/>
              </w:rPr>
              <w:t>.000,00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32,98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159.418,00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11,21 %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</w:t>
            </w:r>
            <w:r w:rsidR="004E1621">
              <w:rPr>
                <w:sz w:val="20"/>
                <w:szCs w:val="20"/>
                <w:lang w:val="sl-SI"/>
              </w:rPr>
              <w:t xml:space="preserve">   </w:t>
            </w:r>
            <w:r w:rsidRPr="00D27ABD">
              <w:rPr>
                <w:sz w:val="20"/>
                <w:szCs w:val="20"/>
                <w:lang w:val="sl-SI"/>
              </w:rPr>
              <w:t>1</w:t>
            </w:r>
            <w:r w:rsidR="004E1621">
              <w:rPr>
                <w:sz w:val="20"/>
                <w:szCs w:val="20"/>
                <w:lang w:val="sl-SI"/>
              </w:rPr>
              <w:t>1.992,00</w:t>
            </w:r>
          </w:p>
        </w:tc>
        <w:tc>
          <w:tcPr>
            <w:tcW w:w="1524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8,76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590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62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1.4</w:t>
            </w:r>
            <w:r w:rsidR="004E1621">
              <w:rPr>
                <w:sz w:val="20"/>
                <w:szCs w:val="20"/>
                <w:lang w:val="sl-SI"/>
              </w:rPr>
              <w:t>21.621,00</w:t>
            </w:r>
          </w:p>
        </w:tc>
        <w:tc>
          <w:tcPr>
            <w:tcW w:w="172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  <w:tc>
          <w:tcPr>
            <w:tcW w:w="1590" w:type="dxa"/>
          </w:tcPr>
          <w:p w:rsidR="000C3C73" w:rsidRPr="00D27ABD" w:rsidRDefault="0027044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1.368.617,00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Default="000C3C73">
      <w:pPr>
        <w:rPr>
          <w:lang w:val="sl-SI"/>
        </w:rPr>
      </w:pPr>
      <w:r>
        <w:rPr>
          <w:lang w:val="sl-SI"/>
        </w:rPr>
        <w:t xml:space="preserve">                                              </w:t>
      </w:r>
      <w:r w:rsidR="0022048B">
        <w:rPr>
          <w:lang w:val="sl-SI"/>
        </w:rPr>
        <w:t xml:space="preserve">                           </w:t>
      </w:r>
      <w:r>
        <w:rPr>
          <w:lang w:val="sl-SI"/>
        </w:rPr>
        <w:t xml:space="preserve">         </w:t>
      </w:r>
      <w:r w:rsidR="0022048B">
        <w:rPr>
          <w:lang w:val="sl-SI"/>
        </w:rPr>
        <w:t xml:space="preserve">                              </w:t>
      </w:r>
      <w:r>
        <w:rPr>
          <w:lang w:val="sl-SI"/>
        </w:rPr>
        <w:t xml:space="preserve">                                                    </w:t>
      </w:r>
    </w:p>
    <w:p w:rsidR="0045659F" w:rsidRDefault="000C3C73" w:rsidP="009B16CC">
      <w:pPr>
        <w:jc w:val="both"/>
        <w:rPr>
          <w:lang w:val="sl-SI"/>
        </w:rPr>
      </w:pPr>
      <w:r>
        <w:rPr>
          <w:lang w:val="sl-SI"/>
        </w:rPr>
        <w:t>Struktura imovine fonda po granama privrede se izm</w:t>
      </w:r>
      <w:r w:rsidR="0045659F">
        <w:rPr>
          <w:lang w:val="sl-SI"/>
        </w:rPr>
        <w:t>ijenila u toku 2014. godine, u odnosu na 2013. godinu, pošto je najviše poraslo ućešće obveznica u imovini fonda za 1,17 %, kao što je i učešće zatvorenih fondova u ukupnoj imovini fonda imalo porast za 0,86 % u odnosu na prethodnu godinu.</w:t>
      </w:r>
    </w:p>
    <w:p w:rsidR="0045659F" w:rsidRDefault="0045659F" w:rsidP="009B16CC">
      <w:pPr>
        <w:jc w:val="both"/>
        <w:rPr>
          <w:lang w:val="sl-SI"/>
        </w:rPr>
      </w:pPr>
      <w:r>
        <w:rPr>
          <w:lang w:val="sl-SI"/>
        </w:rPr>
        <w:t>U toku 2014. godine je došlo do smanjenja depozita i plasmana za 8,22 %, a što se tiče gotovine ona je na kraju 2014. godine imala 2,45 %.</w:t>
      </w:r>
    </w:p>
    <w:p w:rsidR="000C3C73" w:rsidRDefault="0045659F" w:rsidP="009B16CC">
      <w:pPr>
        <w:jc w:val="both"/>
        <w:rPr>
          <w:lang w:val="sl-SI"/>
        </w:rPr>
      </w:pPr>
      <w:r>
        <w:rPr>
          <w:lang w:val="sl-SI"/>
        </w:rPr>
        <w:t xml:space="preserve">Što se tiče učešća imovine fonda po granama privrede u ukupnoj imovini fonda, tokom 2014. godine nije bilo većih promjena u odnosu na prethodnu godinu, osim gore navedenih promjena.  </w:t>
      </w:r>
    </w:p>
    <w:p w:rsidR="00034865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Učešće fonda u otvorenim fondovima je </w:t>
      </w:r>
      <w:r w:rsidR="00221ADE">
        <w:rPr>
          <w:lang w:val="sl-SI"/>
        </w:rPr>
        <w:t xml:space="preserve">potpuno isknjiženo u 2013. godini, pošto je ovo ulaganje zbog otvorenog postupka stečaja u </w:t>
      </w:r>
      <w:r>
        <w:rPr>
          <w:lang w:val="sl-SI"/>
        </w:rPr>
        <w:t xml:space="preserve">ISTOQ FOND u Švajcarskoj, </w:t>
      </w:r>
      <w:r w:rsidR="00221ADE">
        <w:rPr>
          <w:lang w:val="sl-SI"/>
        </w:rPr>
        <w:t>knjigovodstveno knjiženo na sporna potraživanja</w:t>
      </w:r>
      <w:r w:rsidR="0045659F">
        <w:rPr>
          <w:lang w:val="sl-SI"/>
        </w:rPr>
        <w:t xml:space="preserve">, do okončanja postupka stečaja, pa je ovo ulaganje i na kraju 2014. </w:t>
      </w:r>
      <w:r w:rsidR="00BA6469">
        <w:rPr>
          <w:lang w:val="sl-SI"/>
        </w:rPr>
        <w:t>g</w:t>
      </w:r>
      <w:r w:rsidR="0045659F">
        <w:rPr>
          <w:lang w:val="sl-SI"/>
        </w:rPr>
        <w:t>odine imalo vrijednost 0,00 KM</w:t>
      </w:r>
      <w:r w:rsidR="00221ADE">
        <w:rPr>
          <w:lang w:val="sl-SI"/>
        </w:rPr>
        <w:t xml:space="preserve"> </w:t>
      </w:r>
    </w:p>
    <w:p w:rsidR="00034865" w:rsidRDefault="00BA6469" w:rsidP="009B16CC">
      <w:pPr>
        <w:jc w:val="both"/>
        <w:rPr>
          <w:lang w:val="sl-SI"/>
        </w:rPr>
      </w:pPr>
      <w:r>
        <w:rPr>
          <w:lang w:val="sl-SI"/>
        </w:rPr>
        <w:t>Vrijednost ukupne movine</w:t>
      </w:r>
      <w:r w:rsidR="00034865">
        <w:rPr>
          <w:lang w:val="sl-SI"/>
        </w:rPr>
        <w:t xml:space="preserve"> </w:t>
      </w:r>
      <w:r>
        <w:rPr>
          <w:lang w:val="sl-SI"/>
        </w:rPr>
        <w:t>fonda je</w:t>
      </w:r>
      <w:r w:rsidR="009B16CC">
        <w:rPr>
          <w:lang w:val="sl-SI"/>
        </w:rPr>
        <w:t xml:space="preserve"> </w:t>
      </w:r>
      <w:r>
        <w:rPr>
          <w:lang w:val="sl-SI"/>
        </w:rPr>
        <w:t xml:space="preserve">na dan 3.12.2014. godine iznosila 1429.548,00 KM, dok je ista na dan 31.12.2013. godine iznosila 1.390.752,00 KM, što na godišnjem nivou predstavlja rast od 38.796,00 KM, ili povećanje od 9,72 %. </w:t>
      </w:r>
    </w:p>
    <w:p w:rsidR="000C3C73" w:rsidRDefault="009B16CC" w:rsidP="009B16CC">
      <w:pPr>
        <w:jc w:val="both"/>
        <w:rPr>
          <w:lang w:val="sl-SI"/>
        </w:rPr>
      </w:pPr>
      <w:r>
        <w:rPr>
          <w:lang w:val="sl-SI"/>
        </w:rPr>
        <w:t>Upoređ</w:t>
      </w:r>
      <w:r w:rsidR="000C3C73">
        <w:rPr>
          <w:lang w:val="sl-SI"/>
        </w:rPr>
        <w:t xml:space="preserve">ivanjem pokazatelja o vrijednosti imovine fonda u drugim granama privrede </w:t>
      </w:r>
      <w:r w:rsidR="004F7194">
        <w:rPr>
          <w:lang w:val="sl-SI"/>
        </w:rPr>
        <w:t xml:space="preserve">tokom 2014. godine </w:t>
      </w:r>
      <w:r w:rsidR="000C3C73">
        <w:rPr>
          <w:lang w:val="sl-SI"/>
        </w:rPr>
        <w:t>vidljivo je da u drugim granama nije bilo većih promjena, tako da je učešće emitenata iz ostalih grana privrede ostalo na približno istom nivou.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 xml:space="preserve">Struktura </w:t>
      </w:r>
      <w:r w:rsidR="00013B1B" w:rsidRPr="00C52D0B">
        <w:rPr>
          <w:sz w:val="20"/>
          <w:szCs w:val="20"/>
          <w:lang w:val="sl-SI"/>
        </w:rPr>
        <w:t>ulaganja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11"/>
        <w:gridCol w:w="1890"/>
        <w:gridCol w:w="1260"/>
        <w:gridCol w:w="1769"/>
        <w:gridCol w:w="1355"/>
      </w:tblGrid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890" w:type="dxa"/>
          </w:tcPr>
          <w:p w:rsidR="000C3C73" w:rsidRPr="00C52D0B" w:rsidRDefault="000C3C73" w:rsidP="007E7E67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Ukupna vr</w:t>
            </w:r>
            <w:r w:rsidR="00A622F1" w:rsidRPr="00C52D0B">
              <w:rPr>
                <w:sz w:val="20"/>
                <w:szCs w:val="20"/>
                <w:lang w:val="sl-SI"/>
              </w:rPr>
              <w:t>ij</w:t>
            </w:r>
            <w:r w:rsidRPr="00C52D0B">
              <w:rPr>
                <w:sz w:val="20"/>
                <w:szCs w:val="20"/>
                <w:lang w:val="sl-SI"/>
              </w:rPr>
              <w:t>ednost 31.12.201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260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%  </w:t>
            </w:r>
          </w:p>
        </w:tc>
        <w:tc>
          <w:tcPr>
            <w:tcW w:w="1769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Ukupna vr</w:t>
            </w:r>
            <w:r w:rsidR="00A622F1" w:rsidRPr="00C52D0B">
              <w:rPr>
                <w:sz w:val="20"/>
                <w:szCs w:val="20"/>
                <w:lang w:val="sl-SI"/>
              </w:rPr>
              <w:t>ij</w:t>
            </w:r>
            <w:r w:rsidRPr="00C52D0B">
              <w:rPr>
                <w:sz w:val="20"/>
                <w:szCs w:val="20"/>
                <w:lang w:val="sl-SI"/>
              </w:rPr>
              <w:t>ednost</w:t>
            </w:r>
          </w:p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</w:t>
            </w:r>
            <w:r w:rsidR="002C3595" w:rsidRPr="00C52D0B">
              <w:rPr>
                <w:sz w:val="20"/>
                <w:szCs w:val="20"/>
                <w:lang w:val="sl-SI"/>
              </w:rPr>
              <w:t>.2013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35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327.522,06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22,9109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345.13</w:t>
            </w:r>
            <w:r w:rsidR="00013B1B" w:rsidRPr="00C52D0B">
              <w:rPr>
                <w:sz w:val="20"/>
                <w:szCs w:val="20"/>
                <w:lang w:val="sl-SI"/>
              </w:rPr>
              <w:t>6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1355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8165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28,3660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348.847,</w:t>
            </w:r>
            <w:r w:rsidR="00013B1B" w:rsidRPr="00C52D0B">
              <w:rPr>
                <w:sz w:val="20"/>
                <w:szCs w:val="20"/>
                <w:lang w:val="sl-SI"/>
              </w:rPr>
              <w:t>22</w:t>
            </w:r>
          </w:p>
        </w:tc>
        <w:tc>
          <w:tcPr>
            <w:tcW w:w="1355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  <w:r w:rsidR="00013B1B" w:rsidRPr="00C52D0B">
              <w:rPr>
                <w:sz w:val="20"/>
                <w:szCs w:val="20"/>
                <w:lang w:val="sl-SI"/>
              </w:rPr>
              <w:t>5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0834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A622F1" w:rsidRPr="00C52D0B" w:rsidTr="00A622F1">
        <w:tc>
          <w:tcPr>
            <w:tcW w:w="557" w:type="dxa"/>
          </w:tcPr>
          <w:p w:rsidR="00A622F1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311" w:type="dxa"/>
          </w:tcPr>
          <w:p w:rsidR="00A622F1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890" w:type="dxa"/>
          </w:tcPr>
          <w:p w:rsidR="00A622F1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260" w:type="dxa"/>
          </w:tcPr>
          <w:p w:rsidR="00A622F1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A622F1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355" w:type="dxa"/>
          </w:tcPr>
          <w:p w:rsidR="00A622F1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0,0000%</w:t>
            </w:r>
          </w:p>
        </w:tc>
      </w:tr>
      <w:tr w:rsidR="00D93E8B" w:rsidRPr="00C52D0B" w:rsidTr="00A622F1">
        <w:tc>
          <w:tcPr>
            <w:tcW w:w="557" w:type="dxa"/>
          </w:tcPr>
          <w:p w:rsidR="00D93E8B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311" w:type="dxa"/>
          </w:tcPr>
          <w:p w:rsidR="00D93E8B" w:rsidRPr="00C52D0B" w:rsidRDefault="00D93E8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890" w:type="dxa"/>
          </w:tcPr>
          <w:p w:rsidR="00D93E8B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57</w:t>
            </w:r>
            <w:r w:rsidR="00D93E8B" w:rsidRPr="00C52D0B">
              <w:rPr>
                <w:sz w:val="20"/>
                <w:szCs w:val="20"/>
                <w:lang w:val="sl-SI"/>
              </w:rPr>
              <w:t>0</w:t>
            </w:r>
            <w:r w:rsidRPr="00C52D0B">
              <w:rPr>
                <w:sz w:val="20"/>
                <w:szCs w:val="20"/>
                <w:lang w:val="sl-SI"/>
              </w:rPr>
              <w:t>.000</w:t>
            </w:r>
            <w:r w:rsidR="00D93E8B" w:rsidRPr="00C52D0B">
              <w:rPr>
                <w:sz w:val="20"/>
                <w:szCs w:val="20"/>
                <w:lang w:val="sl-SI"/>
              </w:rPr>
              <w:t>,00</w:t>
            </w:r>
          </w:p>
        </w:tc>
        <w:tc>
          <w:tcPr>
            <w:tcW w:w="1260" w:type="dxa"/>
          </w:tcPr>
          <w:p w:rsidR="00D93E8B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39,8727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D93E8B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42</w:t>
            </w:r>
            <w:r w:rsidR="00A622F1" w:rsidRPr="00C52D0B">
              <w:rPr>
                <w:sz w:val="20"/>
                <w:szCs w:val="20"/>
                <w:lang w:val="sl-SI"/>
              </w:rPr>
              <w:t>0</w:t>
            </w:r>
            <w:r w:rsidRPr="00C52D0B">
              <w:rPr>
                <w:sz w:val="20"/>
                <w:szCs w:val="20"/>
                <w:lang w:val="sl-SI"/>
              </w:rPr>
              <w:t>.000</w:t>
            </w:r>
            <w:r w:rsidR="00A622F1" w:rsidRPr="00C52D0B">
              <w:rPr>
                <w:sz w:val="20"/>
                <w:szCs w:val="20"/>
                <w:lang w:val="sl-SI"/>
              </w:rPr>
              <w:t>,00</w:t>
            </w:r>
          </w:p>
        </w:tc>
        <w:tc>
          <w:tcPr>
            <w:tcW w:w="1355" w:type="dxa"/>
          </w:tcPr>
          <w:p w:rsidR="00D93E8B" w:rsidRPr="00C52D0B" w:rsidRDefault="00013B1B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</w:t>
            </w:r>
            <w:r w:rsidR="00A622F1" w:rsidRPr="00C52D0B">
              <w:rPr>
                <w:sz w:val="20"/>
                <w:szCs w:val="20"/>
                <w:lang w:val="sl-SI"/>
              </w:rPr>
              <w:t>,</w:t>
            </w:r>
            <w:r w:rsidRPr="00C52D0B">
              <w:rPr>
                <w:sz w:val="20"/>
                <w:szCs w:val="20"/>
                <w:lang w:val="sl-SI"/>
              </w:rPr>
              <w:t>1995</w:t>
            </w:r>
            <w:r w:rsidR="00A622F1"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</w:t>
            </w:r>
            <w:r w:rsidR="00A622F1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>170,69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0,641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159.418,</w:t>
            </w:r>
            <w:r w:rsidR="00013B1B" w:rsidRPr="00C52D0B">
              <w:rPr>
                <w:sz w:val="20"/>
                <w:szCs w:val="20"/>
                <w:lang w:val="sl-SI"/>
              </w:rPr>
              <w:t>42</w:t>
            </w:r>
          </w:p>
        </w:tc>
        <w:tc>
          <w:tcPr>
            <w:tcW w:w="1355" w:type="dxa"/>
          </w:tcPr>
          <w:p w:rsidR="000C3C73" w:rsidRPr="00C52D0B" w:rsidRDefault="000C3C73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  <w:r w:rsidR="00013B1B" w:rsidRPr="00C52D0B">
              <w:rPr>
                <w:sz w:val="20"/>
                <w:szCs w:val="20"/>
                <w:lang w:val="sl-SI"/>
              </w:rPr>
              <w:t>1</w:t>
            </w:r>
            <w:r w:rsidRPr="00C52D0B">
              <w:rPr>
                <w:sz w:val="20"/>
                <w:szCs w:val="20"/>
                <w:lang w:val="sl-SI"/>
              </w:rPr>
              <w:t>,4</w:t>
            </w:r>
            <w:r w:rsidR="00013B1B" w:rsidRPr="00C52D0B">
              <w:rPr>
                <w:sz w:val="20"/>
                <w:szCs w:val="20"/>
                <w:lang w:val="sl-SI"/>
              </w:rPr>
              <w:t>628</w:t>
            </w:r>
            <w:r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311" w:type="dxa"/>
          </w:tcPr>
          <w:p w:rsidR="000C3C73" w:rsidRPr="00C52D0B" w:rsidRDefault="00A622F1" w:rsidP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Nekretnine</w:t>
            </w:r>
          </w:p>
        </w:tc>
        <w:tc>
          <w:tcPr>
            <w:tcW w:w="189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355" w:type="dxa"/>
          </w:tcPr>
          <w:p w:rsidR="000C3C73" w:rsidRPr="00C52D0B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</w:t>
            </w:r>
            <w:r w:rsidR="00013B1B" w:rsidRPr="00C52D0B">
              <w:rPr>
                <w:sz w:val="20"/>
                <w:szCs w:val="20"/>
                <w:lang w:val="sl-SI"/>
              </w:rPr>
              <w:t>00</w:t>
            </w:r>
            <w:r w:rsidRPr="00C52D0B">
              <w:rPr>
                <w:sz w:val="20"/>
                <w:szCs w:val="20"/>
                <w:lang w:val="sl-SI"/>
              </w:rPr>
              <w:t>00%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89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1.312.198,50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91,791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0C3C73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  <w:r w:rsidR="00013B1B" w:rsidRPr="00C52D0B">
              <w:rPr>
                <w:sz w:val="20"/>
                <w:szCs w:val="20"/>
                <w:lang w:val="sl-SI"/>
              </w:rPr>
              <w:t>.</w:t>
            </w:r>
            <w:r w:rsidR="00A54F62" w:rsidRPr="00C52D0B">
              <w:rPr>
                <w:sz w:val="20"/>
                <w:szCs w:val="20"/>
                <w:lang w:val="sl-SI"/>
              </w:rPr>
              <w:t>273.402,0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355" w:type="dxa"/>
          </w:tcPr>
          <w:p w:rsidR="000C3C73" w:rsidRPr="00C52D0B" w:rsidRDefault="00013B1B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91</w:t>
            </w:r>
            <w:r w:rsidR="000C3C73" w:rsidRPr="00C52D0B">
              <w:rPr>
                <w:sz w:val="20"/>
                <w:szCs w:val="20"/>
                <w:lang w:val="sl-SI"/>
              </w:rPr>
              <w:t>,</w:t>
            </w:r>
            <w:r w:rsidRPr="00C52D0B">
              <w:rPr>
                <w:sz w:val="20"/>
                <w:szCs w:val="20"/>
                <w:lang w:val="sl-SI"/>
              </w:rPr>
              <w:t>5621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Default="0022048B" w:rsidP="0022048B">
      <w:pPr>
        <w:rPr>
          <w:lang w:val="sl-SI"/>
        </w:rPr>
      </w:pPr>
      <w:r>
        <w:rPr>
          <w:lang w:val="sl-SI"/>
        </w:rPr>
        <w:t xml:space="preserve">                           </w:t>
      </w:r>
    </w:p>
    <w:p w:rsidR="008A6110" w:rsidRDefault="000C3C73" w:rsidP="009B16CC">
      <w:pPr>
        <w:jc w:val="both"/>
        <w:rPr>
          <w:lang w:val="sl-SI"/>
        </w:rPr>
      </w:pPr>
      <w:r>
        <w:rPr>
          <w:lang w:val="sl-SI"/>
        </w:rPr>
        <w:t>Analizom pokazatelja iz strukture portfelja fonda po vrstama imovine, vidljivo je da je smanjeno učešće akcija u strukturi imovine fonda</w:t>
      </w:r>
      <w:r w:rsidR="008A6110">
        <w:rPr>
          <w:lang w:val="sl-SI"/>
        </w:rPr>
        <w:t xml:space="preserve"> u 2014</w:t>
      </w:r>
      <w:r w:rsidR="00A54F62">
        <w:rPr>
          <w:lang w:val="sl-SI"/>
        </w:rPr>
        <w:t>. godini, u odnosu na prethodnu godinu</w:t>
      </w:r>
      <w:r w:rsidR="008A6110">
        <w:rPr>
          <w:lang w:val="sl-SI"/>
        </w:rPr>
        <w:t xml:space="preserve"> za 1,90 %, </w:t>
      </w:r>
      <w:r w:rsidR="00A54F62">
        <w:rPr>
          <w:lang w:val="sl-SI"/>
        </w:rPr>
        <w:t xml:space="preserve"> dok je  </w:t>
      </w:r>
      <w:r>
        <w:rPr>
          <w:lang w:val="sl-SI"/>
        </w:rPr>
        <w:t>učešće gotovine</w:t>
      </w:r>
      <w:r w:rsidR="00A54F62">
        <w:rPr>
          <w:lang w:val="sl-SI"/>
        </w:rPr>
        <w:t xml:space="preserve"> u ukupnoj</w:t>
      </w:r>
      <w:r w:rsidR="008A6110">
        <w:rPr>
          <w:lang w:val="sl-SI"/>
        </w:rPr>
        <w:t xml:space="preserve"> imovini fonda na dan 31.12.2014. godine smanjeno za 50.000,00 KM.</w:t>
      </w:r>
    </w:p>
    <w:p w:rsidR="000C3C73" w:rsidRDefault="008A6110" w:rsidP="009B16CC">
      <w:pPr>
        <w:jc w:val="both"/>
        <w:rPr>
          <w:lang w:val="sl-SI"/>
        </w:rPr>
      </w:pPr>
      <w:r>
        <w:rPr>
          <w:lang w:val="sl-SI"/>
        </w:rPr>
        <w:t xml:space="preserve">Učešće gotovine u ukupnoj imovini fonda je u 2014. godini smanjeno za 150.241,59 KM, a osnovni razlog za ovo smanjenje je povećano investiranje u novu imovinu fonda tokom poslovne 2014. godine.  </w:t>
      </w:r>
    </w:p>
    <w:p w:rsidR="000C3C73" w:rsidRDefault="000C3C73">
      <w:pPr>
        <w:rPr>
          <w:lang w:val="sl-SI"/>
        </w:rPr>
      </w:pPr>
    </w:p>
    <w:p w:rsidR="00B73969" w:rsidRDefault="00B73969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lastRenderedPageBreak/>
        <w:t>REZULTATI POSLOVANJA FONDA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lang w:val="sl-SI"/>
        </w:rPr>
      </w:pPr>
      <w:r w:rsidRPr="00C52D0B">
        <w:rPr>
          <w:lang w:val="sl-SI"/>
        </w:rPr>
        <w:t xml:space="preserve">Bilans uspjeha za period </w:t>
      </w:r>
      <w:r w:rsidR="0022048B" w:rsidRPr="00C52D0B">
        <w:rPr>
          <w:lang w:val="sl-SI"/>
        </w:rPr>
        <w:t>0</w:t>
      </w:r>
      <w:r w:rsidR="00D8081D" w:rsidRPr="00C52D0B">
        <w:rPr>
          <w:lang w:val="sl-SI"/>
        </w:rPr>
        <w:t>1.01.-31.12.201</w:t>
      </w:r>
      <w:r w:rsidR="00013B1B" w:rsidRPr="00C52D0B">
        <w:rPr>
          <w:lang w:val="sl-SI"/>
        </w:rPr>
        <w:t>4</w:t>
      </w:r>
      <w:r w:rsidRPr="00C52D0B">
        <w:rPr>
          <w:lang w:val="sl-SI"/>
        </w:rPr>
        <w:t>. godine</w:t>
      </w:r>
    </w:p>
    <w:tbl>
      <w:tblPr>
        <w:tblW w:w="9660" w:type="dxa"/>
        <w:tblInd w:w="93" w:type="dxa"/>
        <w:tblLook w:val="04A0"/>
      </w:tblPr>
      <w:tblGrid>
        <w:gridCol w:w="960"/>
        <w:gridCol w:w="5200"/>
        <w:gridCol w:w="960"/>
        <w:gridCol w:w="1280"/>
        <w:gridCol w:w="1260"/>
      </w:tblGrid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Grupa računa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Naziv pozicije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A. REALIZOVANI PRIHODI 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Poslovni prihodi (203 do 206)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87.521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95.551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Prihodi od dividendi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25.597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50.040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701, 702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Prihodi od kamata i amortizacije premije (diskonta) po osnovu HOV sa fiksnim rokom dospijeća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30.122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Prihodi od zakupa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poslovni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15.389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 Realizovani dobitak (208 do 211)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Realizovani dobici po osnovu prodaje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2. Realizovani dobitak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Realizovani dobici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Poslovni rashodi (213 do 219)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20.996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Naknada društvu za upravljanje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6.069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Troškovi kupovine i prodaje ulaganja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Naknada članovima Nadzornog odbora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9.950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Naknada banci depozitaru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Rashodi po osnovu poreza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604,606, 609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 Ostali poslovni rashodi fonda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Realizovani gubitak (221 do 224)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19.265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Realizovani gubici na prodaji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19.265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2. Realizovani gubitak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Realizovani gubici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REALIZOVANI DOBITAK I GUBITAK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1. Realizovani dobitak (202+207-212-220)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55.290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(212+220-202-207)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VI- Finansijski prihodi (228+229)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Prihodi od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Ostali finansijski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 Finansijski rashodi (231+232)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Ostali finansijski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REALIZOVANI DOBITAK I GUBITAK PRIJE OPOREZIVANJA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>1. Realizovani dobitak prije oporezivanja (225+227-230)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prije oporezivanja (226+230-227)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V. TEKUĆI I ODLOŽENI POREZ NA DOBIT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Odloženi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Odloženi poreski prihod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 REALIZOVANI DOBITAK I GUBITAK POSLIJE OPOREZIVANJA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1. Realizovani dobitak poslije oporezivanja (233-234-236-237+238)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poslije oporezivanja (234-233+236+237-238)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D. NEREALIZOVANI DOBICI I GUBICI                                                         I-Nerealizovani dobici (242 do 247)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61.883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dobici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61.883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dobici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Nerealizovani dobici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Nerealizovani dobici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Nerealizovani dobici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Ostali nerealizovani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II- Nerealizovani gubici (249do 254)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69.559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71.177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gubici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69.559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71.177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gubici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Nerealizovani gubcii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Nerealizovani gubici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Nerealizovani gubici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Ostali nerealizovani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Đ. UKUPNI NEREALIZOVANI DOBICI (GUBICI) FONDA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1. Ukupni nerealizovani dobitak (241-248)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Ukupni nerealizovani gubitak (248-241)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9.294</w:t>
            </w:r>
          </w:p>
        </w:tc>
      </w:tr>
      <w:tr w:rsidR="00013B1B" w:rsidRPr="00C52D0B" w:rsidTr="00013B1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>1. Povećanje neto imovine fonda (239-240+255-256)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12.968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46.007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Smanjenje neto imovine fonda (240-239+256-255)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Obična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Razrijeđena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Ostvareni prihodi:</w:t>
      </w:r>
    </w:p>
    <w:p w:rsidR="000C3C73" w:rsidRPr="00C52D0B" w:rsidRDefault="0069442E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U periodu od </w:t>
      </w:r>
      <w:r w:rsidR="009B16CC" w:rsidRPr="00C52D0B">
        <w:rPr>
          <w:lang w:val="sl-SI"/>
        </w:rPr>
        <w:t>0</w:t>
      </w:r>
      <w:r w:rsidR="00A62FB5" w:rsidRPr="00C52D0B">
        <w:rPr>
          <w:lang w:val="sl-SI"/>
        </w:rPr>
        <w:t>1.01. do 31.12.2014</w:t>
      </w:r>
      <w:r w:rsidRPr="00C52D0B">
        <w:rPr>
          <w:lang w:val="sl-SI"/>
        </w:rPr>
        <w:t xml:space="preserve">. godine </w:t>
      </w:r>
      <w:r w:rsidR="000C3C73" w:rsidRPr="00C52D0B">
        <w:rPr>
          <w:lang w:val="sl-SI"/>
        </w:rPr>
        <w:t xml:space="preserve"> fond je ostvario uk</w:t>
      </w:r>
      <w:r w:rsidRPr="00C52D0B">
        <w:rPr>
          <w:lang w:val="sl-SI"/>
        </w:rPr>
        <w:t xml:space="preserve">upne prihode u iznosu od </w:t>
      </w:r>
      <w:r w:rsidR="00A62FB5" w:rsidRPr="00C52D0B">
        <w:rPr>
          <w:lang w:val="sl-SI"/>
        </w:rPr>
        <w:t>87.521,00 KM, i ini su u odnosu na isti period prethodne poslovne godine smanjeni za 8.030,00 KM, ili za 0,15 %.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C52D0B" w:rsidRDefault="0069442E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</w:t>
            </w:r>
            <w:r w:rsidR="00A62FB5" w:rsidRPr="00C52D0B">
              <w:rPr>
                <w:sz w:val="20"/>
                <w:szCs w:val="20"/>
                <w:lang w:val="sl-SI"/>
              </w:rPr>
              <w:t>2.985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20.778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C6501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Ostali poslovni p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38.161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A62FB5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</w:t>
            </w:r>
            <w:r w:rsidR="000C3C73" w:rsidRPr="00C52D0B">
              <w:rPr>
                <w:sz w:val="20"/>
                <w:szCs w:val="20"/>
                <w:lang w:val="sl-SI"/>
              </w:rPr>
              <w:t>Prihodi od dividendi</w:t>
            </w:r>
            <w:r w:rsidRPr="00C52D0B">
              <w:rPr>
                <w:sz w:val="20"/>
                <w:szCs w:val="20"/>
                <w:lang w:val="sl-SI"/>
              </w:rPr>
              <w:t xml:space="preserve">                         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25.597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C6501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Najveći prihodi fonda </w:t>
      </w:r>
      <w:r w:rsidR="00A62FB5" w:rsidRPr="00C52D0B">
        <w:rPr>
          <w:lang w:val="sl-SI"/>
        </w:rPr>
        <w:t>u 2014</w:t>
      </w:r>
      <w:r w:rsidR="001054D8" w:rsidRPr="00C52D0B">
        <w:rPr>
          <w:lang w:val="sl-SI"/>
        </w:rPr>
        <w:t>. g</w:t>
      </w:r>
      <w:r w:rsidR="009B16CC" w:rsidRPr="00C52D0B">
        <w:rPr>
          <w:lang w:val="sl-SI"/>
        </w:rPr>
        <w:t>od</w:t>
      </w:r>
      <w:r w:rsidR="00C65013" w:rsidRPr="00C52D0B">
        <w:rPr>
          <w:lang w:val="sl-SI"/>
        </w:rPr>
        <w:t xml:space="preserve">ini su ostvareni od </w:t>
      </w:r>
      <w:r w:rsidR="00A62FB5" w:rsidRPr="00C52D0B">
        <w:rPr>
          <w:lang w:val="sl-SI"/>
        </w:rPr>
        <w:t xml:space="preserve">prinosa po osnovu anuiteta na obveznice koje je fond imao u svome portfelju, dok je najveći pad prihoda fonda u 2014. godinu u odnosu na prethodnu poslovnu godinu ostvaren od dividendi na ulaganja iz portfelja fonda, koje su smanjene za </w:t>
      </w:r>
      <w:r w:rsidR="00970B81" w:rsidRPr="00C52D0B">
        <w:rPr>
          <w:lang w:val="sl-SI"/>
        </w:rPr>
        <w:t xml:space="preserve">24.443,00 KM, a osnovni razlog za ovo smanjenje je manje isplaćena dividenda u akcijama od emitenta »Nova banka« ad Banja Luka. 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Na osnovu uporednih</w:t>
      </w:r>
      <w:r w:rsidR="009B16CC" w:rsidRPr="00C52D0B">
        <w:rPr>
          <w:lang w:val="sl-SI"/>
        </w:rPr>
        <w:t xml:space="preserve"> pokazatelja za </w:t>
      </w:r>
      <w:r w:rsidR="00970B81" w:rsidRPr="00C52D0B">
        <w:rPr>
          <w:lang w:val="sl-SI"/>
        </w:rPr>
        <w:t>2013. godinu i za 2014</w:t>
      </w:r>
      <w:r w:rsidR="00C65013" w:rsidRPr="00C52D0B">
        <w:rPr>
          <w:lang w:val="sl-SI"/>
        </w:rPr>
        <w:t xml:space="preserve">. </w:t>
      </w:r>
      <w:r w:rsidR="00970B81" w:rsidRPr="00C52D0B">
        <w:rPr>
          <w:lang w:val="sl-SI"/>
        </w:rPr>
        <w:t>godinu, je vidljivo da je u 2014. godini</w:t>
      </w:r>
      <w:r w:rsidR="00C65013" w:rsidRPr="00C52D0B">
        <w:rPr>
          <w:lang w:val="sl-SI"/>
        </w:rPr>
        <w:t xml:space="preserve"> promijenjena struktura prihoda</w:t>
      </w:r>
      <w:r w:rsidR="00970B81" w:rsidRPr="00C52D0B">
        <w:rPr>
          <w:lang w:val="sl-SI"/>
        </w:rPr>
        <w:t xml:space="preserve"> fonda</w:t>
      </w:r>
      <w:r w:rsidR="00C65013" w:rsidRPr="00C52D0B">
        <w:rPr>
          <w:lang w:val="sl-SI"/>
        </w:rPr>
        <w:t xml:space="preserve">, u odnosu na prethodnu poslovnu godinu, na način </w:t>
      </w:r>
      <w:r w:rsidR="00C65013" w:rsidRPr="00C52D0B">
        <w:rPr>
          <w:lang w:val="sl-SI"/>
        </w:rPr>
        <w:lastRenderedPageBreak/>
        <w:t xml:space="preserve">da su značajno porasli </w:t>
      </w:r>
      <w:r w:rsidR="00970B81" w:rsidRPr="00C52D0B">
        <w:rPr>
          <w:lang w:val="sl-SI"/>
        </w:rPr>
        <w:t>prihodi od kamata i od anuiteta na dužničke hartije, dok su zbog navedenog razloga</w:t>
      </w:r>
      <w:r w:rsidR="00C65013" w:rsidRPr="00C52D0B">
        <w:rPr>
          <w:lang w:val="sl-SI"/>
        </w:rPr>
        <w:t xml:space="preserve"> smanjeni prihodi od </w:t>
      </w:r>
      <w:r w:rsidR="00970B81" w:rsidRPr="00C52D0B">
        <w:rPr>
          <w:lang w:val="sl-SI"/>
        </w:rPr>
        <w:t xml:space="preserve">dividendi. </w:t>
      </w:r>
      <w:r w:rsidR="00C65013" w:rsidRPr="00C52D0B">
        <w:rPr>
          <w:lang w:val="sl-SI"/>
        </w:rPr>
        <w:t xml:space="preserve">  </w:t>
      </w:r>
    </w:p>
    <w:p w:rsidR="000C3C73" w:rsidRPr="00C52D0B" w:rsidRDefault="000C3C73" w:rsidP="009B16CC">
      <w:pPr>
        <w:jc w:val="both"/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Ostvareni rashodi:</w:t>
      </w:r>
    </w:p>
    <w:p w:rsidR="000C3C73" w:rsidRPr="00C52D0B" w:rsidRDefault="00C6501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U </w:t>
      </w:r>
      <w:r w:rsidR="000C3C73" w:rsidRPr="00C52D0B">
        <w:rPr>
          <w:lang w:val="sl-SI"/>
        </w:rPr>
        <w:t xml:space="preserve"> periodu</w:t>
      </w:r>
      <w:r w:rsidR="00970B81" w:rsidRPr="00C52D0B">
        <w:rPr>
          <w:lang w:val="sl-SI"/>
        </w:rPr>
        <w:t xml:space="preserve"> od 1.01. do 31.12.2014</w:t>
      </w:r>
      <w:r w:rsidRPr="00C52D0B">
        <w:rPr>
          <w:lang w:val="sl-SI"/>
        </w:rPr>
        <w:t xml:space="preserve">. godine </w:t>
      </w:r>
      <w:r w:rsidR="000C3C73" w:rsidRPr="00C52D0B">
        <w:rPr>
          <w:lang w:val="sl-SI"/>
        </w:rPr>
        <w:t xml:space="preserve"> su ostvareni poslovni</w:t>
      </w:r>
      <w:r w:rsidRPr="00C52D0B">
        <w:rPr>
          <w:lang w:val="sl-SI"/>
        </w:rPr>
        <w:t xml:space="preserve"> rashodi su iznosili 20.996</w:t>
      </w:r>
      <w:r w:rsidR="000C3C73" w:rsidRPr="00C52D0B">
        <w:rPr>
          <w:lang w:val="sl-SI"/>
        </w:rPr>
        <w:t>,00 KM, i oni su imali sledeću strukturu:</w:t>
      </w: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6.435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121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</w:tcPr>
          <w:p w:rsidR="000C3C73" w:rsidRPr="00C52D0B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9.950,00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1.92</w:t>
            </w:r>
            <w:r w:rsidR="00C65013" w:rsidRPr="00C52D0B">
              <w:rPr>
                <w:sz w:val="20"/>
                <w:szCs w:val="20"/>
                <w:lang w:val="sl-SI"/>
              </w:rPr>
              <w:t>6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Analizom uporednih poka</w:t>
      </w:r>
      <w:r w:rsidR="0048679F" w:rsidRPr="00C52D0B">
        <w:rPr>
          <w:lang w:val="sl-SI"/>
        </w:rPr>
        <w:t>zatelja poslovnih rashoda u 2014</w:t>
      </w:r>
      <w:r w:rsidR="00C65013" w:rsidRPr="00C52D0B">
        <w:rPr>
          <w:lang w:val="sl-SI"/>
        </w:rPr>
        <w:t>. godini, u</w:t>
      </w:r>
      <w:r w:rsidR="0048679F" w:rsidRPr="00C52D0B">
        <w:rPr>
          <w:lang w:val="sl-SI"/>
        </w:rPr>
        <w:t xml:space="preserve"> odnosu na 2013</w:t>
      </w:r>
      <w:r w:rsidRPr="00C52D0B">
        <w:rPr>
          <w:lang w:val="sl-SI"/>
        </w:rPr>
        <w:t>. godinu, u</w:t>
      </w:r>
      <w:r w:rsidR="0048679F" w:rsidRPr="00C52D0B">
        <w:rPr>
          <w:lang w:val="sl-SI"/>
        </w:rPr>
        <w:t>očljivo je da su troškovi u 2014</w:t>
      </w:r>
      <w:r w:rsidRPr="00C52D0B">
        <w:rPr>
          <w:lang w:val="sl-SI"/>
        </w:rPr>
        <w:t>. godini</w:t>
      </w:r>
      <w:r w:rsidR="0048679F" w:rsidRPr="00C52D0B">
        <w:rPr>
          <w:lang w:val="sl-SI"/>
        </w:rPr>
        <w:t xml:space="preserve"> povećani za od 1.425,00 KM, i da se ovo povećanje najvećim dijelom odnosi na povećanje ostalih poslovnih rashoda fonda.  </w:t>
      </w:r>
    </w:p>
    <w:p w:rsidR="000C3C73" w:rsidRPr="00C52D0B" w:rsidRDefault="00B513F4" w:rsidP="009B16CC">
      <w:pPr>
        <w:jc w:val="both"/>
        <w:rPr>
          <w:lang w:val="sl-SI"/>
        </w:rPr>
      </w:pPr>
      <w:r w:rsidRPr="00C52D0B">
        <w:rPr>
          <w:lang w:val="sl-SI"/>
        </w:rPr>
        <w:t>Fo</w:t>
      </w:r>
      <w:r w:rsidR="009B16CC" w:rsidRPr="00C52D0B">
        <w:rPr>
          <w:lang w:val="sl-SI"/>
        </w:rPr>
        <w:t xml:space="preserve">nd je </w:t>
      </w:r>
      <w:r w:rsidR="00CC10DF" w:rsidRPr="00C52D0B">
        <w:rPr>
          <w:lang w:val="sl-SI"/>
        </w:rPr>
        <w:t>po godišnjem obračunu za 2014</w:t>
      </w:r>
      <w:r w:rsidRPr="00C52D0B">
        <w:rPr>
          <w:lang w:val="sl-SI"/>
        </w:rPr>
        <w:t>. godinu</w:t>
      </w:r>
      <w:r w:rsidR="000C3C73" w:rsidRPr="00C52D0B">
        <w:rPr>
          <w:lang w:val="sl-SI"/>
        </w:rPr>
        <w:t xml:space="preserve"> ostvario realiz</w:t>
      </w:r>
      <w:r w:rsidR="00CC10DF" w:rsidRPr="00C52D0B">
        <w:rPr>
          <w:lang w:val="sl-SI"/>
        </w:rPr>
        <w:t>ovani dobitak u iznosu od 19.974</w:t>
      </w:r>
      <w:r w:rsidRPr="00C52D0B">
        <w:rPr>
          <w:lang w:val="sl-SI"/>
        </w:rPr>
        <w:t xml:space="preserve">,00 KM, koji je u odnosu na isti </w:t>
      </w:r>
      <w:r w:rsidR="00CC10DF" w:rsidRPr="00C52D0B">
        <w:rPr>
          <w:lang w:val="sl-SI"/>
        </w:rPr>
        <w:t>period prethodne godine smanjen za 35.316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Realiz</w:t>
      </w:r>
      <w:r w:rsidR="00CC10DF" w:rsidRPr="00C52D0B">
        <w:rPr>
          <w:lang w:val="sl-SI"/>
        </w:rPr>
        <w:t>aovni gubici fonda u 2014. godini su iznosili 45.126</w:t>
      </w:r>
      <w:r w:rsidRPr="00C52D0B">
        <w:rPr>
          <w:lang w:val="sl-SI"/>
        </w:rPr>
        <w:t>,00 KM, i oni su u odnosu na pr</w:t>
      </w:r>
      <w:r w:rsidR="001E0153" w:rsidRPr="00C52D0B">
        <w:rPr>
          <w:lang w:val="sl-SI"/>
        </w:rPr>
        <w:t>ethodnu poslovnu godinu povećani</w:t>
      </w:r>
      <w:r w:rsidR="00B513F4" w:rsidRPr="00C52D0B">
        <w:rPr>
          <w:lang w:val="sl-SI"/>
        </w:rPr>
        <w:t xml:space="preserve"> za </w:t>
      </w:r>
      <w:r w:rsidR="001E0153" w:rsidRPr="00C52D0B">
        <w:rPr>
          <w:lang w:val="sl-SI"/>
        </w:rPr>
        <w:t>25.861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Ovi gubici su nastali prodajom ulaganja fonda.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Nerealizov</w:t>
      </w:r>
      <w:r w:rsidR="001E0153" w:rsidRPr="00C52D0B">
        <w:rPr>
          <w:lang w:val="sl-SI"/>
        </w:rPr>
        <w:t>ani gubici fonda na kraju 2014. godine</w:t>
      </w:r>
      <w:r w:rsidR="00B513F4" w:rsidRPr="00C52D0B">
        <w:rPr>
          <w:lang w:val="sl-SI"/>
        </w:rPr>
        <w:t xml:space="preserve">  su iznos</w:t>
      </w:r>
      <w:r w:rsidR="001E0153" w:rsidRPr="00C52D0B">
        <w:rPr>
          <w:lang w:val="sl-SI"/>
        </w:rPr>
        <w:t>ili 69.559</w:t>
      </w:r>
      <w:r w:rsidR="009B16CC" w:rsidRPr="00C52D0B">
        <w:rPr>
          <w:lang w:val="sl-SI"/>
        </w:rPr>
        <w:t>,00 KM, i oni su takođ</w:t>
      </w:r>
      <w:r w:rsidR="00B513F4" w:rsidRPr="00C52D0B">
        <w:rPr>
          <w:lang w:val="sl-SI"/>
        </w:rPr>
        <w:t xml:space="preserve">e smanjeni </w:t>
      </w:r>
      <w:r w:rsidRPr="00C52D0B">
        <w:rPr>
          <w:lang w:val="sl-SI"/>
        </w:rPr>
        <w:t xml:space="preserve"> u odnosu na pre</w:t>
      </w:r>
      <w:r w:rsidR="001E0153" w:rsidRPr="00C52D0B">
        <w:rPr>
          <w:lang w:val="sl-SI"/>
        </w:rPr>
        <w:t>thodnu poslovnu godinu za 1.618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Ovi gubici su ostvareni držanjem hartija u portfelju fonda, koje</w:t>
      </w:r>
      <w:r w:rsidR="001E0153" w:rsidRPr="00C52D0B">
        <w:rPr>
          <w:lang w:val="sl-SI"/>
        </w:rPr>
        <w:t xml:space="preserve"> su imale pad vrijednosti u 2014</w:t>
      </w:r>
      <w:r w:rsidRPr="00C52D0B">
        <w:rPr>
          <w:lang w:val="sl-SI"/>
        </w:rPr>
        <w:t xml:space="preserve">. </w:t>
      </w:r>
      <w:r w:rsidR="00224FDA" w:rsidRPr="00C52D0B">
        <w:rPr>
          <w:lang w:val="sl-SI"/>
        </w:rPr>
        <w:t>godini.</w:t>
      </w:r>
    </w:p>
    <w:p w:rsidR="00224FDA" w:rsidRPr="00C52D0B" w:rsidRDefault="00224FDA" w:rsidP="009B16CC">
      <w:pPr>
        <w:jc w:val="both"/>
        <w:rPr>
          <w:lang w:val="sl-SI"/>
        </w:rPr>
      </w:pPr>
      <w:r w:rsidRPr="00C52D0B">
        <w:rPr>
          <w:lang w:val="sl-SI"/>
        </w:rPr>
        <w:t>N</w:t>
      </w:r>
      <w:r w:rsidR="001E0153" w:rsidRPr="00C52D0B">
        <w:rPr>
          <w:lang w:val="sl-SI"/>
        </w:rPr>
        <w:t>erealizovani dobici fonda u 2014. godini su iznosili 62.553</w:t>
      </w:r>
      <w:r w:rsidRPr="00C52D0B">
        <w:rPr>
          <w:lang w:val="sl-SI"/>
        </w:rPr>
        <w:t>,00 KM, i oni su u odnosu na pr</w:t>
      </w:r>
      <w:r w:rsidR="001E0153" w:rsidRPr="00C52D0B">
        <w:rPr>
          <w:lang w:val="sl-SI"/>
        </w:rPr>
        <w:t>ethodnu poslovnu godinu imali blagi rast za 670</w:t>
      </w:r>
      <w:r w:rsidRPr="00C52D0B">
        <w:rPr>
          <w:lang w:val="sl-SI"/>
        </w:rPr>
        <w:t>,00 KM.</w:t>
      </w:r>
    </w:p>
    <w:p w:rsidR="00D27ABD" w:rsidRPr="00C52D0B" w:rsidRDefault="00D27ABD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lang w:val="sl-SI"/>
        </w:rPr>
      </w:pPr>
      <w:r w:rsidRPr="00C52D0B">
        <w:rPr>
          <w:lang w:val="sl-SI"/>
        </w:rPr>
        <w:t>Bilan</w:t>
      </w:r>
      <w:r w:rsidR="00013B1B" w:rsidRPr="00C52D0B">
        <w:rPr>
          <w:lang w:val="sl-SI"/>
        </w:rPr>
        <w:t>s stanja fonda na dan 31.12.2014</w:t>
      </w:r>
      <w:r w:rsidRPr="00C52D0B">
        <w:rPr>
          <w:lang w:val="sl-SI"/>
        </w:rPr>
        <w:t>. godine</w:t>
      </w:r>
    </w:p>
    <w:tbl>
      <w:tblPr>
        <w:tblW w:w="9332" w:type="dxa"/>
        <w:tblInd w:w="93" w:type="dxa"/>
        <w:tblLook w:val="04A0"/>
      </w:tblPr>
      <w:tblGrid>
        <w:gridCol w:w="1418"/>
        <w:gridCol w:w="5040"/>
        <w:gridCol w:w="600"/>
        <w:gridCol w:w="1220"/>
        <w:gridCol w:w="1240"/>
      </w:tblGrid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013B1B" w:rsidRPr="00C52D0B" w:rsidTr="00013B1B">
        <w:trPr>
          <w:trHeight w:val="67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Grupa računa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Prethodna godina korigovana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A. UKUPNA IMOVINA (002+003+010+018+019)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1.429.548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1.390.752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100 do 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Gotovina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159.418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 Ulaganja fonda (004 do 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1.303.027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1.113.984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200 do 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Ulaganja fonda u finansijska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338.318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278.920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210 do 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Ulaganja fonda u finansijska sredstva raspoloživa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394.709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415.064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220 do 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Ulaganja fonda u finansijska sredstva koja se drži do roka dospijeća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230 do 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Depoziti i plasmani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420.000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240 do 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Ostala ulaganja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 - Potraživanja (011 do 017)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Potraživanja po osnovu prodaje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Potraživanja po osnovu prodaje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Potraživanja po osnovu kamata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Potraživanja po osnovu dividendi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Potraživanja po osnovu datih avansa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Ostala potraživanja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310 do 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 Potraživanja od društva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Odložena poreska sredstva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AVR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B. OBAVEZA (021+025+030+031+034+037+038+039)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22.135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Obaveze iz poslovanja fonda (022 do 024)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Obaveze po osnovu ulaganja u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Obaveze po osnovu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-Obaveze po osnovu troškova poslovanja (026 do 030)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1.357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Obaveze za učešće u dobitku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Obaveze za porez na dobit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411,412,413,419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1.183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420 do 429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Obaveze prema društvu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20.778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IV-Kratkoročne finansijske obaveze (032+033)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Kratkoročni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431,439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kratkoročne fiinansijske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Dugoročne obaveze (035+036)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dugoročne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 - Ostale obaveze fonda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 Odložene poreske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VIII- PVR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V. NETO IMOVINA FONDA (001-020)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1.421.621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1.368.617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G. KAPITAL (042+045+048+053+054-057</w:t>
            </w:r>
            <w:r w:rsidRPr="00C52D0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1.421.621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1.368.617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Osnovni kapital (043+044)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Akcijsi kapital-redovne akcije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Udjeli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II- Kapitalne rezerve (046+047)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Emisiona premija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kapitalne rezerve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Revalorizacione rezerve (049 do 052)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-185.298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-225.334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Revalorizacione rezerve po osnovu revalorizacije finansijskih sred. raspoloživih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-185.298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-225.334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Revalorizacione rezerve po osnovu instrumenata zaštite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Revalorizacione rezerve po osnovu revalorizacije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4. Ostale revalorizacione rezerve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Rezerve iz dobiti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Neraspoređena dobi (055+056)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Neraspoređeni dobitak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Neraspoređeni dobitak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 - Nepokriveni gubitak (058+059)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316.460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371.761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560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Nepokriveni gubitak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316.460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371.761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Nepokriveni gubitak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VII-Nerealizovani dobitak/gubitak (061+062)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-344.827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-337.821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dobici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gubici 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-344.827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-337.821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D. BROJ EMITOVANIH AKCIJA/UDJELA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Đ. NETO IMOVINA PO UDJELU/AKCIJI (040/063)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VANBILANSNE EVIDENCIJE                        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1. Vanbilansna aktiva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  <w:r w:rsidRPr="00C52D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Vanbilansna pasiva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Iz Bilansa stanja fonda na dan 31.1</w:t>
      </w:r>
      <w:r w:rsidR="00783C63" w:rsidRPr="00C52D0B">
        <w:rPr>
          <w:lang w:val="sl-SI"/>
        </w:rPr>
        <w:t>2.2014</w:t>
      </w:r>
      <w:r w:rsidRPr="00C52D0B">
        <w:rPr>
          <w:lang w:val="sl-SI"/>
        </w:rPr>
        <w:t xml:space="preserve">. godine se vidi da je ukupna imovina fonda na </w:t>
      </w:r>
      <w:r w:rsidR="00783C63" w:rsidRPr="00C52D0B">
        <w:rPr>
          <w:lang w:val="sl-SI"/>
        </w:rPr>
        <w:t>kraju perioda iznosila 1.429.548</w:t>
      </w:r>
      <w:r w:rsidRPr="00C52D0B">
        <w:rPr>
          <w:lang w:val="sl-SI"/>
        </w:rPr>
        <w:t>,00 KM, i ona je u odnosu na isti period prethodne poslovne godi</w:t>
      </w:r>
      <w:r w:rsidR="00783C63" w:rsidRPr="00C52D0B">
        <w:rPr>
          <w:lang w:val="sl-SI"/>
        </w:rPr>
        <w:t>ne imala</w:t>
      </w:r>
      <w:r w:rsidR="00654D4C" w:rsidRPr="00C52D0B">
        <w:rPr>
          <w:lang w:val="sl-SI"/>
        </w:rPr>
        <w:t xml:space="preserve"> </w:t>
      </w:r>
      <w:r w:rsidR="00783C63" w:rsidRPr="00C52D0B">
        <w:rPr>
          <w:lang w:val="sl-SI"/>
        </w:rPr>
        <w:t>porast u iznosu od 38.796</w:t>
      </w:r>
      <w:r w:rsidRPr="00C52D0B">
        <w:rPr>
          <w:lang w:val="sl-SI"/>
        </w:rPr>
        <w:t>,00 KM.</w:t>
      </w:r>
    </w:p>
    <w:p w:rsidR="000C3C73" w:rsidRPr="00C52D0B" w:rsidRDefault="00654D4C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Ovo povećanje </w:t>
      </w:r>
      <w:r w:rsidR="000C3C73" w:rsidRPr="00C52D0B">
        <w:rPr>
          <w:lang w:val="sl-SI"/>
        </w:rPr>
        <w:t>je</w:t>
      </w:r>
      <w:r w:rsidRPr="00C52D0B">
        <w:rPr>
          <w:lang w:val="sl-SI"/>
        </w:rPr>
        <w:t xml:space="preserve"> usl</w:t>
      </w:r>
      <w:r w:rsidR="009B16CC" w:rsidRPr="00C52D0B">
        <w:rPr>
          <w:lang w:val="sl-SI"/>
        </w:rPr>
        <w:t>ij</w:t>
      </w:r>
      <w:r w:rsidRPr="00C52D0B">
        <w:rPr>
          <w:lang w:val="sl-SI"/>
        </w:rPr>
        <w:t>edilo kao rezultat povećanja ućešća dužničkih hartija u portfelju fonda, koje su na godišnjem nivou imale rast, tako da je ovaj porast bio nešto veći od pada vrijednosti akcija preduzeća i akcija zatvorenih investicionih fondova</w:t>
      </w:r>
      <w:r w:rsidR="008D1522" w:rsidRPr="00C52D0B">
        <w:rPr>
          <w:lang w:val="sl-SI"/>
        </w:rPr>
        <w:t>, koje je fond imao u s</w:t>
      </w:r>
      <w:r w:rsidR="00783C63" w:rsidRPr="00C52D0B">
        <w:rPr>
          <w:lang w:val="sl-SI"/>
        </w:rPr>
        <w:t>vome portfelju na dan 31.12.2014</w:t>
      </w:r>
      <w:r w:rsidR="008D1522" w:rsidRPr="00C52D0B">
        <w:rPr>
          <w:lang w:val="sl-SI"/>
        </w:rPr>
        <w:t xml:space="preserve">. godine. 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Ulaganja u sredstva rasp</w:t>
      </w:r>
      <w:r w:rsidR="008D1522" w:rsidRPr="00C52D0B">
        <w:rPr>
          <w:lang w:val="sl-SI"/>
        </w:rPr>
        <w:t>oloživ</w:t>
      </w:r>
      <w:r w:rsidR="00783C63" w:rsidRPr="00C52D0B">
        <w:rPr>
          <w:lang w:val="sl-SI"/>
        </w:rPr>
        <w:t>a za prodaju su imala pad u 2014. godini za 20.355</w:t>
      </w:r>
      <w:r w:rsidR="002E1CEA" w:rsidRPr="00C52D0B">
        <w:rPr>
          <w:lang w:val="sl-SI"/>
        </w:rPr>
        <w:t xml:space="preserve">,00 KM, dok su </w:t>
      </w:r>
      <w:r w:rsidRPr="00C52D0B">
        <w:rPr>
          <w:lang w:val="sl-SI"/>
        </w:rPr>
        <w:t>ulaganja</w:t>
      </w:r>
      <w:r w:rsidR="002E1CEA" w:rsidRPr="00C52D0B">
        <w:rPr>
          <w:lang w:val="sl-SI"/>
        </w:rPr>
        <w:t xml:space="preserve"> fonda u finansijska sredstva</w:t>
      </w:r>
      <w:r w:rsidR="00783C63" w:rsidRPr="00C52D0B">
        <w:rPr>
          <w:lang w:val="sl-SI"/>
        </w:rPr>
        <w:t xml:space="preserve"> po fer vrijdnosti</w:t>
      </w:r>
      <w:r w:rsidR="009B16CC" w:rsidRPr="00C52D0B">
        <w:rPr>
          <w:lang w:val="sl-SI"/>
        </w:rPr>
        <w:t xml:space="preserve"> imala rast </w:t>
      </w:r>
      <w:r w:rsidR="002E1CEA" w:rsidRPr="00C52D0B">
        <w:rPr>
          <w:lang w:val="sl-SI"/>
        </w:rPr>
        <w:t xml:space="preserve">na godišnjem nivou </w:t>
      </w:r>
      <w:r w:rsidR="00783C63" w:rsidRPr="00C52D0B">
        <w:rPr>
          <w:lang w:val="sl-SI"/>
        </w:rPr>
        <w:t xml:space="preserve">u iznosu od </w:t>
      </w:r>
      <w:r w:rsidR="002E1CEA" w:rsidRPr="00C52D0B">
        <w:rPr>
          <w:lang w:val="sl-SI"/>
        </w:rPr>
        <w:t xml:space="preserve">od </w:t>
      </w:r>
      <w:r w:rsidRPr="00C52D0B">
        <w:rPr>
          <w:lang w:val="sl-SI"/>
        </w:rPr>
        <w:t xml:space="preserve"> </w:t>
      </w:r>
      <w:r w:rsidR="00783C63" w:rsidRPr="00C52D0B">
        <w:rPr>
          <w:lang w:val="sl-SI"/>
        </w:rPr>
        <w:t>59.398</w:t>
      </w:r>
      <w:r w:rsidR="002E1CEA" w:rsidRPr="00C52D0B">
        <w:rPr>
          <w:lang w:val="sl-SI"/>
        </w:rPr>
        <w:t xml:space="preserve">,00 KM, u odnosu na isti period u prethodnoj poslovnoj godini.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Fond je na kraju </w:t>
      </w:r>
      <w:r w:rsidR="00662144" w:rsidRPr="00C52D0B">
        <w:rPr>
          <w:lang w:val="sl-SI"/>
        </w:rPr>
        <w:t xml:space="preserve">2014. </w:t>
      </w:r>
      <w:r w:rsidRPr="00C52D0B">
        <w:rPr>
          <w:lang w:val="sl-SI"/>
        </w:rPr>
        <w:t>poslovne godine imao potraživanja u iznosu od 117.000,00 KM, i ona su se odnosila na date</w:t>
      </w:r>
      <w:r w:rsidR="00662144" w:rsidRPr="00C52D0B">
        <w:rPr>
          <w:lang w:val="sl-SI"/>
        </w:rPr>
        <w:t xml:space="preserve"> avanse, i bila su ista kao i na kraju prethodne godine.</w:t>
      </w:r>
    </w:p>
    <w:p w:rsidR="000C3C73" w:rsidRPr="00C52D0B" w:rsidRDefault="002E1CEA" w:rsidP="009B16CC">
      <w:pPr>
        <w:jc w:val="both"/>
        <w:rPr>
          <w:lang w:val="sl-SI"/>
        </w:rPr>
      </w:pPr>
      <w:r w:rsidRPr="00C52D0B">
        <w:rPr>
          <w:lang w:val="sl-SI"/>
        </w:rPr>
        <w:t>Obaveze fonda na dan 31.12.2013. godine su iznosile 22.135</w:t>
      </w:r>
      <w:r w:rsidR="000C3C73" w:rsidRPr="00C52D0B">
        <w:rPr>
          <w:lang w:val="sl-SI"/>
        </w:rPr>
        <w:t>,00 KM,</w:t>
      </w:r>
      <w:r w:rsidRPr="00C52D0B">
        <w:rPr>
          <w:lang w:val="sl-SI"/>
        </w:rPr>
        <w:t xml:space="preserve"> i one se</w:t>
      </w:r>
      <w:r w:rsidR="000C3C73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i dalje </w:t>
      </w:r>
      <w:r w:rsidR="000C3C73" w:rsidRPr="00C52D0B">
        <w:rPr>
          <w:lang w:val="sl-SI"/>
        </w:rPr>
        <w:t>na</w:t>
      </w:r>
      <w:r w:rsidR="00F66AC7" w:rsidRPr="00C52D0B">
        <w:rPr>
          <w:lang w:val="sl-SI"/>
        </w:rPr>
        <w:t xml:space="preserve">jvećim dijelom odnose na neisplaćenu proviziju društvu </w:t>
      </w:r>
      <w:r w:rsidR="000C3C73" w:rsidRPr="00C52D0B">
        <w:rPr>
          <w:lang w:val="sl-SI"/>
        </w:rPr>
        <w:t>za upravljanje.</w:t>
      </w:r>
    </w:p>
    <w:p w:rsidR="000C3C73" w:rsidRPr="00C52D0B" w:rsidRDefault="00F66AC7" w:rsidP="009B16CC">
      <w:pPr>
        <w:jc w:val="both"/>
        <w:rPr>
          <w:lang w:val="sl-SI"/>
        </w:rPr>
      </w:pPr>
      <w:r w:rsidRPr="00C52D0B">
        <w:rPr>
          <w:lang w:val="sl-SI"/>
        </w:rPr>
        <w:t>O</w:t>
      </w:r>
      <w:r w:rsidR="000C3C73" w:rsidRPr="00C52D0B">
        <w:rPr>
          <w:lang w:val="sl-SI"/>
        </w:rPr>
        <w:t>baveze</w:t>
      </w:r>
      <w:r w:rsidR="00662144" w:rsidRPr="00C52D0B">
        <w:rPr>
          <w:lang w:val="sl-SI"/>
        </w:rPr>
        <w:t xml:space="preserve"> fonda su na dan 31.12.2014</w:t>
      </w:r>
      <w:r w:rsidRPr="00C52D0B">
        <w:rPr>
          <w:lang w:val="sl-SI"/>
        </w:rPr>
        <w:t xml:space="preserve">. godine </w:t>
      </w:r>
      <w:r w:rsidR="00662144" w:rsidRPr="00C52D0B">
        <w:rPr>
          <w:lang w:val="sl-SI"/>
        </w:rPr>
        <w:t xml:space="preserve">su iznosile 7.927,00 KM, i one su u odnosu na isti period prethodne godine smanjene za 14.208,00 KM, a ovo smanjenje se odnosi na otpis potraživanja od društva za upravljanje, po osnovu provizije za upravljanje fondom iz prethodnog perioda.  </w:t>
      </w:r>
    </w:p>
    <w:p w:rsidR="00F66AC7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Nepokriveni gubitak fonda</w:t>
      </w:r>
      <w:r w:rsidR="00662144" w:rsidRPr="00C52D0B">
        <w:rPr>
          <w:lang w:val="sl-SI"/>
        </w:rPr>
        <w:t xml:space="preserve"> na dan 31.12.2014. godine je bio 316.460</w:t>
      </w:r>
      <w:r w:rsidR="00F66AC7" w:rsidRPr="00C52D0B">
        <w:rPr>
          <w:lang w:val="sl-SI"/>
        </w:rPr>
        <w:t xml:space="preserve">,00 KM, i on je </w:t>
      </w:r>
      <w:r w:rsidR="00662144" w:rsidRPr="00C52D0B">
        <w:rPr>
          <w:lang w:val="sl-SI"/>
        </w:rPr>
        <w:t>u odnosu na prethodnu godinu smanjen za 55.301</w:t>
      </w:r>
      <w:r w:rsidR="00F66AC7" w:rsidRPr="00C52D0B">
        <w:rPr>
          <w:lang w:val="sl-SI"/>
        </w:rPr>
        <w:t>,00 KM, pošto je poslovni dobita</w:t>
      </w:r>
      <w:r w:rsidR="00662144" w:rsidRPr="00C52D0B">
        <w:rPr>
          <w:lang w:val="sl-SI"/>
        </w:rPr>
        <w:t>k fonda u 2013</w:t>
      </w:r>
      <w:r w:rsidR="009B16CC" w:rsidRPr="00C52D0B">
        <w:rPr>
          <w:lang w:val="sl-SI"/>
        </w:rPr>
        <w:t>. godini raspoređ</w:t>
      </w:r>
      <w:r w:rsidR="00F66AC7" w:rsidRPr="00C52D0B">
        <w:rPr>
          <w:lang w:val="sl-SI"/>
        </w:rPr>
        <w:t>en za pokrivanje dijela nepokrivenog gubitka iz prethodnih poslovnih godina.</w:t>
      </w:r>
    </w:p>
    <w:p w:rsidR="000C3C73" w:rsidRPr="00C52D0B" w:rsidRDefault="000C3C73" w:rsidP="009B16CC">
      <w:pPr>
        <w:jc w:val="both"/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KORPORATIVNE AKTIVNOSTI</w:t>
      </w:r>
    </w:p>
    <w:p w:rsidR="000C3C73" w:rsidRPr="00C52D0B" w:rsidRDefault="000C3C73">
      <w:pPr>
        <w:rPr>
          <w:lang w:val="sl-SI"/>
        </w:rPr>
      </w:pPr>
    </w:p>
    <w:p w:rsidR="00EC0395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U skladu sa Programom investicionih ciljeva i </w:t>
      </w:r>
      <w:r w:rsidR="005B7E1D" w:rsidRPr="00C52D0B">
        <w:rPr>
          <w:lang w:val="sl-SI"/>
        </w:rPr>
        <w:t>i</w:t>
      </w:r>
      <w:r w:rsidRPr="00C52D0B">
        <w:rPr>
          <w:lang w:val="sl-SI"/>
        </w:rPr>
        <w:t>nv</w:t>
      </w:r>
      <w:r w:rsidR="00760508" w:rsidRPr="00C52D0B">
        <w:rPr>
          <w:lang w:val="sl-SI"/>
        </w:rPr>
        <w:t>esticione politike fonda za 2014</w:t>
      </w:r>
      <w:r w:rsidRPr="00C52D0B">
        <w:rPr>
          <w:lang w:val="sl-SI"/>
        </w:rPr>
        <w:t>. godinu, p</w:t>
      </w:r>
      <w:r w:rsidR="000C3C73" w:rsidRPr="00C52D0B">
        <w:rPr>
          <w:lang w:val="sl-SI"/>
        </w:rPr>
        <w:t xml:space="preserve">redstavnici društva za upravljanje </w:t>
      </w:r>
      <w:r w:rsidR="00760508" w:rsidRPr="00C52D0B">
        <w:rPr>
          <w:lang w:val="sl-SI"/>
        </w:rPr>
        <w:t>su aktivno učestvali</w:t>
      </w:r>
      <w:r w:rsidR="000C3C73" w:rsidRPr="00C52D0B">
        <w:rPr>
          <w:lang w:val="sl-SI"/>
        </w:rPr>
        <w:t xml:space="preserve"> u ra</w:t>
      </w:r>
      <w:r w:rsidRPr="00C52D0B">
        <w:rPr>
          <w:lang w:val="sl-SI"/>
        </w:rPr>
        <w:t>du skupština akcionara preduzeća iz portfelja fonda.</w:t>
      </w:r>
    </w:p>
    <w:p w:rsidR="000C3C73" w:rsidRPr="00C52D0B" w:rsidRDefault="00760508" w:rsidP="005B7E1D">
      <w:pPr>
        <w:jc w:val="both"/>
        <w:rPr>
          <w:lang w:val="sl-SI"/>
        </w:rPr>
      </w:pPr>
      <w:r w:rsidRPr="00C52D0B">
        <w:rPr>
          <w:lang w:val="sl-SI"/>
        </w:rPr>
        <w:t>Predstavnici fonda, su učestvali</w:t>
      </w:r>
      <w:r w:rsidR="00EC0395" w:rsidRPr="00C52D0B">
        <w:rPr>
          <w:lang w:val="sl-SI"/>
        </w:rPr>
        <w:t xml:space="preserve"> u radu skupština akcionara preduzeća iz portfelja fonda, </w:t>
      </w:r>
      <w:r w:rsidRPr="00C52D0B">
        <w:rPr>
          <w:lang w:val="sl-SI"/>
        </w:rPr>
        <w:t xml:space="preserve">i oni su </w:t>
      </w:r>
      <w:r w:rsidR="00EC0395" w:rsidRPr="00C52D0B">
        <w:rPr>
          <w:lang w:val="sl-SI"/>
        </w:rPr>
        <w:t xml:space="preserve"> nakon održanih sjednica, a po usvojenim procedurama</w:t>
      </w:r>
      <w:r w:rsidR="000C3C73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društvu u propisanim rokovima dostavljali </w:t>
      </w:r>
      <w:r w:rsidR="000C3C73" w:rsidRPr="00C52D0B">
        <w:rPr>
          <w:lang w:val="sl-SI"/>
        </w:rPr>
        <w:t xml:space="preserve"> i</w:t>
      </w:r>
      <w:r w:rsidRPr="00C52D0B">
        <w:rPr>
          <w:lang w:val="sl-SI"/>
        </w:rPr>
        <w:t>zvještaje sa održanih sjednica, koje je društvo objavilo</w:t>
      </w:r>
      <w:r w:rsidR="00EC0395" w:rsidRPr="00C52D0B">
        <w:rPr>
          <w:lang w:val="sl-SI"/>
        </w:rPr>
        <w:t xml:space="preserve"> na svojoj internet strani. 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Što se tiče rada </w:t>
      </w:r>
      <w:r w:rsidR="00EC0395" w:rsidRPr="00C52D0B">
        <w:rPr>
          <w:lang w:val="sl-SI"/>
        </w:rPr>
        <w:t xml:space="preserve">u organima upravljanja preduzeća </w:t>
      </w:r>
      <w:r w:rsidRPr="00C52D0B">
        <w:rPr>
          <w:lang w:val="sl-SI"/>
        </w:rPr>
        <w:t>iz portfelja fonda, ovdje društvo nema nikakve aktivnosti, obzirom da fond nema svoje p</w:t>
      </w:r>
      <w:r w:rsidR="00EC0395" w:rsidRPr="00C52D0B">
        <w:rPr>
          <w:lang w:val="sl-SI"/>
        </w:rPr>
        <w:t>redstavnike u organima preduzeća u kojima fond ima akcije</w:t>
      </w:r>
      <w:r w:rsidR="00760508" w:rsidRPr="00C52D0B">
        <w:rPr>
          <w:lang w:val="sl-SI"/>
        </w:rPr>
        <w:t>, zbog</w:t>
      </w:r>
      <w:r w:rsidR="00EC0395" w:rsidRPr="00C52D0B">
        <w:rPr>
          <w:lang w:val="sl-SI"/>
        </w:rPr>
        <w:t xml:space="preserve"> malog učešća</w:t>
      </w:r>
      <w:r w:rsidRPr="00C52D0B">
        <w:rPr>
          <w:lang w:val="sl-SI"/>
        </w:rPr>
        <w:t xml:space="preserve"> fond</w:t>
      </w:r>
      <w:r w:rsidR="00EC0395" w:rsidRPr="00C52D0B">
        <w:rPr>
          <w:lang w:val="sl-SI"/>
        </w:rPr>
        <w:t>a u kapitalu ovih preduzeća</w:t>
      </w:r>
      <w:r w:rsidRPr="00C52D0B">
        <w:rPr>
          <w:lang w:val="sl-SI"/>
        </w:rPr>
        <w:t>.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lastRenderedPageBreak/>
        <w:t xml:space="preserve">STRATEGIJA ULAGANJA 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Osnovni dokument, koji služi kao okvir za ulaganja fonda je </w:t>
      </w:r>
      <w:r w:rsidR="000C3C73" w:rsidRPr="00C52D0B">
        <w:rPr>
          <w:lang w:val="sl-SI"/>
        </w:rPr>
        <w:t>Prospekt fonda, na koji je svoju s</w:t>
      </w:r>
      <w:r w:rsidRPr="00C52D0B">
        <w:rPr>
          <w:lang w:val="sl-SI"/>
        </w:rPr>
        <w:t>aglasnost dala Komisija</w:t>
      </w:r>
      <w:r w:rsidR="000C3C73" w:rsidRPr="00C52D0B">
        <w:rPr>
          <w:lang w:val="sl-SI"/>
        </w:rPr>
        <w:t>, i ovaj dokument je osnovni pravni akt kojim su definisane politike ulaganja fonda.</w:t>
      </w:r>
    </w:p>
    <w:p w:rsidR="00EC0395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Fondom upravlja </w:t>
      </w:r>
      <w:r w:rsidR="005B7E1D" w:rsidRPr="00C52D0B">
        <w:rPr>
          <w:lang w:val="sl-SI"/>
        </w:rPr>
        <w:t>D</w:t>
      </w:r>
      <w:r w:rsidRPr="00C52D0B">
        <w:rPr>
          <w:lang w:val="sl-SI"/>
        </w:rPr>
        <w:t>ruštvo za upravljanje</w:t>
      </w:r>
      <w:r w:rsidR="005B7E1D" w:rsidRPr="00C52D0B">
        <w:rPr>
          <w:lang w:val="sl-SI"/>
        </w:rPr>
        <w:t xml:space="preserve"> investicionim fondovima</w:t>
      </w:r>
      <w:r w:rsidR="00EC0395" w:rsidRPr="00C52D0B">
        <w:rPr>
          <w:lang w:val="sl-SI"/>
        </w:rPr>
        <w:t xml:space="preserve"> »Invest nova« a</w:t>
      </w:r>
      <w:r w:rsidR="005B7E1D" w:rsidRPr="00C52D0B">
        <w:rPr>
          <w:lang w:val="sl-SI"/>
        </w:rPr>
        <w:t>.</w:t>
      </w:r>
      <w:r w:rsidR="00EC0395" w:rsidRPr="00C52D0B">
        <w:rPr>
          <w:lang w:val="sl-SI"/>
        </w:rPr>
        <w:t>d</w:t>
      </w:r>
      <w:r w:rsidR="005B7E1D" w:rsidRPr="00C52D0B">
        <w:rPr>
          <w:lang w:val="sl-SI"/>
        </w:rPr>
        <w:t>.</w:t>
      </w:r>
      <w:r w:rsidR="00EC0395" w:rsidRPr="00C52D0B">
        <w:rPr>
          <w:lang w:val="sl-SI"/>
        </w:rPr>
        <w:t xml:space="preserve"> Bijeljina</w:t>
      </w:r>
      <w:r w:rsidRPr="00C52D0B">
        <w:rPr>
          <w:lang w:val="sl-SI"/>
        </w:rPr>
        <w:t>, u skladu sa Ugovorom o upravljanju</w:t>
      </w:r>
      <w:r w:rsidR="00EC0395" w:rsidRPr="00C52D0B">
        <w:rPr>
          <w:lang w:val="sl-SI"/>
        </w:rPr>
        <w:t xml:space="preserve"> fondom, a investic</w:t>
      </w:r>
      <w:r w:rsidR="002F0193" w:rsidRPr="00C52D0B">
        <w:rPr>
          <w:lang w:val="sl-SI"/>
        </w:rPr>
        <w:t>ionu politiku fonda je sprovodio</w:t>
      </w:r>
      <w:r w:rsidR="00EC0395" w:rsidRPr="00C52D0B">
        <w:rPr>
          <w:lang w:val="sl-SI"/>
        </w:rPr>
        <w:t xml:space="preserve"> upravni </w:t>
      </w:r>
      <w:r w:rsidR="005B7E1D" w:rsidRPr="00C52D0B">
        <w:rPr>
          <w:lang w:val="sl-SI"/>
        </w:rPr>
        <w:t xml:space="preserve">odbor društva za upravljanje, u </w:t>
      </w:r>
      <w:r w:rsidRPr="00C52D0B">
        <w:rPr>
          <w:lang w:val="sl-SI"/>
        </w:rPr>
        <w:t>skladu sa Programomom investicionih cilljeva i inv</w:t>
      </w:r>
      <w:r w:rsidR="002F0193" w:rsidRPr="00C52D0B">
        <w:rPr>
          <w:lang w:val="sl-SI"/>
        </w:rPr>
        <w:t>esticione politike fonda za 2014</w:t>
      </w:r>
      <w:r w:rsidR="00EC0395" w:rsidRPr="00C52D0B">
        <w:rPr>
          <w:lang w:val="sl-SI"/>
        </w:rPr>
        <w:t xml:space="preserve">. </w:t>
      </w:r>
      <w:r w:rsidR="006E747E" w:rsidRPr="00C52D0B">
        <w:rPr>
          <w:lang w:val="sl-SI"/>
        </w:rPr>
        <w:t>g</w:t>
      </w:r>
      <w:r w:rsidR="00EC0395" w:rsidRPr="00C52D0B">
        <w:rPr>
          <w:lang w:val="sl-SI"/>
        </w:rPr>
        <w:t>odinu.</w:t>
      </w:r>
    </w:p>
    <w:p w:rsidR="000C3C73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>Ovaj dokument je u formi Pr</w:t>
      </w:r>
      <w:r w:rsidR="005B7E1D" w:rsidRPr="00C52D0B">
        <w:rPr>
          <w:lang w:val="sl-SI"/>
        </w:rPr>
        <w:t>ij</w:t>
      </w:r>
      <w:r w:rsidRPr="00C52D0B">
        <w:rPr>
          <w:lang w:val="sl-SI"/>
        </w:rPr>
        <w:t>edloga</w:t>
      </w:r>
      <w:r w:rsidR="000C3C73" w:rsidRPr="00C52D0B">
        <w:rPr>
          <w:lang w:val="sl-SI"/>
        </w:rPr>
        <w:t xml:space="preserve"> utvrd</w:t>
      </w:r>
      <w:r w:rsidR="005B7E1D" w:rsidRPr="00C52D0B">
        <w:rPr>
          <w:lang w:val="sl-SI"/>
        </w:rPr>
        <w:t xml:space="preserve">io Upravni odbor društva, </w:t>
      </w:r>
      <w:r w:rsidR="006E747E" w:rsidRPr="00C52D0B">
        <w:rPr>
          <w:lang w:val="sl-SI"/>
        </w:rPr>
        <w:t>a Program</w:t>
      </w:r>
      <w:r w:rsidR="000C3C73" w:rsidRPr="00C52D0B">
        <w:rPr>
          <w:lang w:val="sl-SI"/>
        </w:rPr>
        <w:t xml:space="preserve"> je us</w:t>
      </w:r>
      <w:r w:rsidR="006E747E" w:rsidRPr="00C52D0B">
        <w:rPr>
          <w:lang w:val="sl-SI"/>
        </w:rPr>
        <w:t>vo</w:t>
      </w:r>
      <w:r w:rsidR="005B7E1D" w:rsidRPr="00C52D0B">
        <w:rPr>
          <w:lang w:val="sl-SI"/>
        </w:rPr>
        <w:t>j</w:t>
      </w:r>
      <w:r w:rsidR="006E747E" w:rsidRPr="00C52D0B">
        <w:rPr>
          <w:lang w:val="sl-SI"/>
        </w:rPr>
        <w:t>ila skupština akcionara fonda, na svojoj redovnoj sjednici</w:t>
      </w:r>
      <w:r w:rsidR="002F0193" w:rsidRPr="00C52D0B">
        <w:rPr>
          <w:lang w:val="sl-SI"/>
        </w:rPr>
        <w:t xml:space="preserve">, koja je održana u aprilu mjesecu 2014. </w:t>
      </w:r>
      <w:r w:rsidR="006E747E" w:rsidRPr="00C52D0B">
        <w:rPr>
          <w:lang w:val="sl-SI"/>
        </w:rPr>
        <w:t xml:space="preserve">godine. 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Poslovnim ciljevima iz ovog programa su definisane politike upravljanja portfeljom</w:t>
      </w:r>
      <w:r w:rsidR="005B7E1D" w:rsidRPr="00C52D0B">
        <w:rPr>
          <w:lang w:val="sl-SI"/>
        </w:rPr>
        <w:t xml:space="preserve"> fonda, a odgovornost za sprovođ</w:t>
      </w:r>
      <w:r w:rsidRPr="00C52D0B">
        <w:rPr>
          <w:lang w:val="sl-SI"/>
        </w:rPr>
        <w:t>enje pos</w:t>
      </w:r>
      <w:r w:rsidR="006E747E" w:rsidRPr="00C52D0B">
        <w:rPr>
          <w:lang w:val="sl-SI"/>
        </w:rPr>
        <w:t xml:space="preserve">lovne politike fonda je na društvu, </w:t>
      </w:r>
      <w:r w:rsidRPr="00C52D0B">
        <w:rPr>
          <w:lang w:val="sl-SI"/>
        </w:rPr>
        <w:t xml:space="preserve"> koje upravlja fondom.</w:t>
      </w:r>
    </w:p>
    <w:p w:rsidR="000C3C73" w:rsidRPr="00C52D0B" w:rsidRDefault="002F0193" w:rsidP="005B7E1D">
      <w:pPr>
        <w:jc w:val="both"/>
        <w:rPr>
          <w:lang w:val="sl-SI"/>
        </w:rPr>
      </w:pPr>
      <w:r w:rsidRPr="00C52D0B">
        <w:rPr>
          <w:lang w:val="sl-SI"/>
        </w:rPr>
        <w:t>Na početku 2014</w:t>
      </w:r>
      <w:r w:rsidR="000C3C73" w:rsidRPr="00C52D0B">
        <w:rPr>
          <w:lang w:val="sl-SI"/>
        </w:rPr>
        <w:t xml:space="preserve">. godine su postavljeni osnovni </w:t>
      </w:r>
      <w:r w:rsidR="005B7E1D" w:rsidRPr="00C52D0B">
        <w:rPr>
          <w:lang w:val="sl-SI"/>
        </w:rPr>
        <w:t>i</w:t>
      </w:r>
      <w:r w:rsidR="000C3C73" w:rsidRPr="00C52D0B">
        <w:rPr>
          <w:lang w:val="sl-SI"/>
        </w:rPr>
        <w:t>nvesticioni ciljevi fonda, a realizacija istih je zavisila od stanja na domaćim fi</w:t>
      </w:r>
      <w:r w:rsidR="006E747E" w:rsidRPr="00C52D0B">
        <w:rPr>
          <w:lang w:val="sl-SI"/>
        </w:rPr>
        <w:t>nansijskim tržiš</w:t>
      </w:r>
      <w:r w:rsidRPr="00C52D0B">
        <w:rPr>
          <w:lang w:val="sl-SI"/>
        </w:rPr>
        <w:t>tima, a ograničavajući faktor</w:t>
      </w:r>
      <w:r w:rsidR="005B7E1D" w:rsidRPr="00C52D0B">
        <w:rPr>
          <w:lang w:val="sl-SI"/>
        </w:rPr>
        <w:t xml:space="preserve"> za </w:t>
      </w:r>
      <w:r w:rsidRPr="00C52D0B">
        <w:rPr>
          <w:lang w:val="sl-SI"/>
        </w:rPr>
        <w:t xml:space="preserve">sprovodjenje </w:t>
      </w:r>
      <w:r w:rsidR="005B7E1D" w:rsidRPr="00C52D0B">
        <w:rPr>
          <w:lang w:val="sl-SI"/>
        </w:rPr>
        <w:t>utvrđ</w:t>
      </w:r>
      <w:r w:rsidR="006E747E" w:rsidRPr="00C52D0B">
        <w:rPr>
          <w:lang w:val="sl-SI"/>
        </w:rPr>
        <w:t xml:space="preserve">ene poslovne politike fonda </w:t>
      </w:r>
      <w:r w:rsidRPr="00C52D0B">
        <w:rPr>
          <w:lang w:val="sl-SI"/>
        </w:rPr>
        <w:t xml:space="preserve">u 2014. godini </w:t>
      </w:r>
      <w:r w:rsidR="006E747E" w:rsidRPr="00C52D0B">
        <w:rPr>
          <w:lang w:val="sl-SI"/>
        </w:rPr>
        <w:t xml:space="preserve">je </w:t>
      </w:r>
      <w:r w:rsidRPr="00C52D0B">
        <w:rPr>
          <w:lang w:val="sl-SI"/>
        </w:rPr>
        <w:t xml:space="preserve">bio </w:t>
      </w:r>
      <w:r w:rsidR="006E747E" w:rsidRPr="00C52D0B">
        <w:rPr>
          <w:lang w:val="sl-SI"/>
        </w:rPr>
        <w:t xml:space="preserve">nedostatak </w:t>
      </w:r>
      <w:r w:rsidR="000C3C73" w:rsidRPr="00C52D0B">
        <w:rPr>
          <w:lang w:val="sl-SI"/>
        </w:rPr>
        <w:t xml:space="preserve">novčanih priliva </w:t>
      </w:r>
      <w:r w:rsidRPr="00C52D0B">
        <w:rPr>
          <w:lang w:val="sl-SI"/>
        </w:rPr>
        <w:t>iz poslovnih aktivnosti fonda</w:t>
      </w:r>
      <w:r w:rsidR="006E747E" w:rsidRPr="00C52D0B">
        <w:rPr>
          <w:lang w:val="sl-SI"/>
        </w:rPr>
        <w:t xml:space="preserve"> tokom poslovne godine. </w:t>
      </w:r>
    </w:p>
    <w:p w:rsidR="000C3C73" w:rsidRPr="00C52D0B" w:rsidRDefault="006E747E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Fond je većinu </w:t>
      </w:r>
      <w:r w:rsidR="000C3C73" w:rsidRPr="00C52D0B">
        <w:rPr>
          <w:lang w:val="sl-SI"/>
        </w:rPr>
        <w:t>novčanih priliva tokom godine</w:t>
      </w:r>
      <w:r w:rsidR="002F0193" w:rsidRPr="00C52D0B">
        <w:rPr>
          <w:lang w:val="sl-SI"/>
        </w:rPr>
        <w:t xml:space="preserve"> investirao u obveznice, čime</w:t>
      </w:r>
      <w:r w:rsidR="000C3C73" w:rsidRPr="00C52D0B">
        <w:rPr>
          <w:lang w:val="sl-SI"/>
        </w:rPr>
        <w:t xml:space="preserve"> je smanjeno učešće akcija</w:t>
      </w:r>
      <w:r w:rsidRPr="00C52D0B">
        <w:rPr>
          <w:lang w:val="sl-SI"/>
        </w:rPr>
        <w:t xml:space="preserve">, i </w:t>
      </w:r>
      <w:r w:rsidR="002F0193" w:rsidRPr="00C52D0B">
        <w:rPr>
          <w:lang w:val="sl-SI"/>
        </w:rPr>
        <w:t xml:space="preserve">istovremeno </w:t>
      </w:r>
      <w:r w:rsidR="000C3C73" w:rsidRPr="00C52D0B">
        <w:rPr>
          <w:lang w:val="sl-SI"/>
        </w:rPr>
        <w:t>p</w:t>
      </w:r>
      <w:r w:rsidR="002F0193" w:rsidRPr="00C52D0B">
        <w:rPr>
          <w:lang w:val="sl-SI"/>
        </w:rPr>
        <w:t>ovećano učešće obveznica</w:t>
      </w:r>
      <w:r w:rsidR="000C3C73" w:rsidRPr="00C52D0B">
        <w:rPr>
          <w:lang w:val="sl-SI"/>
        </w:rPr>
        <w:t xml:space="preserve"> u ukupnoj imovioni fonda, što je i bio jedan od in</w:t>
      </w:r>
      <w:r w:rsidR="002F0193" w:rsidRPr="00C52D0B">
        <w:rPr>
          <w:lang w:val="sl-SI"/>
        </w:rPr>
        <w:t>vesticionih ciljeva fonda u 2014</w:t>
      </w:r>
      <w:r w:rsidR="000C3C73" w:rsidRPr="00C52D0B">
        <w:rPr>
          <w:lang w:val="sl-SI"/>
        </w:rPr>
        <w:t>. godini.</w:t>
      </w:r>
    </w:p>
    <w:p w:rsidR="00A22919" w:rsidRPr="00C52D0B" w:rsidRDefault="00A22919">
      <w:pPr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OSTALI POKAZATELJI FONDA</w:t>
      </w:r>
    </w:p>
    <w:p w:rsidR="00A22919" w:rsidRPr="00C52D0B" w:rsidRDefault="00A22919" w:rsidP="00A22919">
      <w:pPr>
        <w:ind w:left="480"/>
        <w:rPr>
          <w:lang w:val="sl-SI"/>
        </w:rPr>
      </w:pPr>
    </w:p>
    <w:p w:rsidR="00A22919" w:rsidRPr="00C52D0B" w:rsidRDefault="00A22919" w:rsidP="00A22919">
      <w:pPr>
        <w:numPr>
          <w:ilvl w:val="1"/>
          <w:numId w:val="15"/>
        </w:numPr>
        <w:rPr>
          <w:b/>
          <w:i/>
          <w:lang w:val="sl-SI"/>
        </w:rPr>
      </w:pPr>
      <w:r w:rsidRPr="00C52D0B">
        <w:rPr>
          <w:b/>
          <w:i/>
          <w:lang w:val="sl-SI"/>
        </w:rPr>
        <w:t>Uporedni pokazatelji poslovanja fonda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Tabelarno ćemo prikazati pokazatelje poslovanja fonda, sa osnovnim f</w:t>
      </w:r>
      <w:r w:rsidR="007E6617" w:rsidRPr="00C52D0B">
        <w:rPr>
          <w:lang w:val="sl-SI"/>
        </w:rPr>
        <w:t>inansijskim pokazateljima u 201</w:t>
      </w:r>
      <w:r w:rsidR="00013B1B" w:rsidRPr="00C52D0B">
        <w:rPr>
          <w:lang w:val="sl-SI"/>
        </w:rPr>
        <w:t>2</w:t>
      </w:r>
      <w:r w:rsidR="007E6617" w:rsidRPr="00C52D0B">
        <w:rPr>
          <w:lang w:val="sl-SI"/>
        </w:rPr>
        <w:t>. 201</w:t>
      </w:r>
      <w:r w:rsidR="00013B1B" w:rsidRPr="00C52D0B">
        <w:rPr>
          <w:lang w:val="sl-SI"/>
        </w:rPr>
        <w:t>3</w:t>
      </w:r>
      <w:r w:rsidRPr="00C52D0B">
        <w:rPr>
          <w:lang w:val="sl-SI"/>
        </w:rPr>
        <w:t>. i 201</w:t>
      </w:r>
      <w:r w:rsidR="00013B1B" w:rsidRPr="00C52D0B">
        <w:rPr>
          <w:lang w:val="sl-SI"/>
        </w:rPr>
        <w:t>4</w:t>
      </w:r>
      <w:r w:rsidRPr="00C52D0B">
        <w:rPr>
          <w:lang w:val="sl-SI"/>
        </w:rPr>
        <w:t>. godini:</w:t>
      </w:r>
    </w:p>
    <w:p w:rsidR="0022048B" w:rsidRPr="00C52D0B" w:rsidRDefault="0022048B" w:rsidP="005B7E1D">
      <w:pPr>
        <w:jc w:val="both"/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br. 1.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406"/>
        <w:gridCol w:w="2406"/>
        <w:gridCol w:w="2406"/>
      </w:tblGrid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31.12.2013.   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31.12.2012.   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1.390.752,00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1.383.566,00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0,61              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0,63             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2406" w:type="dxa"/>
          </w:tcPr>
          <w:p w:rsidR="00013B1B" w:rsidRPr="00C52D0B" w:rsidRDefault="002F019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1,6</w:t>
            </w:r>
            <w:r w:rsidR="00B73969">
              <w:rPr>
                <w:sz w:val="20"/>
                <w:szCs w:val="20"/>
                <w:lang w:val="sl-SI"/>
              </w:rPr>
              <w:t>3%</w:t>
            </w:r>
          </w:p>
        </w:tc>
        <w:tc>
          <w:tcPr>
            <w:tcW w:w="2406" w:type="dxa"/>
          </w:tcPr>
          <w:p w:rsidR="00013B1B" w:rsidRPr="00C52D0B" w:rsidRDefault="00B73969" w:rsidP="00013B1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1,59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%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                     </w:t>
            </w:r>
          </w:p>
        </w:tc>
        <w:tc>
          <w:tcPr>
            <w:tcW w:w="2406" w:type="dxa"/>
          </w:tcPr>
          <w:p w:rsidR="00013B1B" w:rsidRPr="00C52D0B" w:rsidRDefault="00B73969" w:rsidP="00013B1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2,32 %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                               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B664B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U ovoj tabeli</w:t>
      </w:r>
      <w:r w:rsidR="007E6617" w:rsidRPr="00C52D0B">
        <w:rPr>
          <w:lang w:val="sl-SI"/>
        </w:rPr>
        <w:t xml:space="preserve"> su prikazani uporedni podaci o kretanju </w:t>
      </w:r>
      <w:r w:rsidRPr="00C52D0B">
        <w:rPr>
          <w:lang w:val="sl-SI"/>
        </w:rPr>
        <w:t xml:space="preserve"> neto vrijednost imovine fonda</w:t>
      </w:r>
      <w:r w:rsidR="007E6617" w:rsidRPr="00C52D0B">
        <w:rPr>
          <w:lang w:val="sl-SI"/>
        </w:rPr>
        <w:t xml:space="preserve"> u prethodne tri poslovne godine</w:t>
      </w:r>
      <w:r w:rsidRPr="00C52D0B">
        <w:rPr>
          <w:lang w:val="sl-SI"/>
        </w:rPr>
        <w:t xml:space="preserve">, </w:t>
      </w:r>
      <w:r w:rsidR="007E6617" w:rsidRPr="00C52D0B">
        <w:rPr>
          <w:lang w:val="sl-SI"/>
        </w:rPr>
        <w:t>sa pokazateljima vrijednosti neto imovine fonda po akciji fonda, i o kretanju ukupnih troškova fonda</w:t>
      </w:r>
      <w:r w:rsidR="00B664B3" w:rsidRPr="00C52D0B">
        <w:rPr>
          <w:lang w:val="sl-SI"/>
        </w:rPr>
        <w:t>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Uporednom analizom ovih pokazatelja, vidimo da je u 2</w:t>
      </w:r>
      <w:r w:rsidR="0064375A" w:rsidRPr="00C52D0B">
        <w:rPr>
          <w:lang w:val="sl-SI"/>
        </w:rPr>
        <w:t>013</w:t>
      </w:r>
      <w:r w:rsidR="002F0193" w:rsidRPr="00C52D0B">
        <w:rPr>
          <w:lang w:val="sl-SI"/>
        </w:rPr>
        <w:t>. godini došlo do</w:t>
      </w:r>
      <w:r w:rsidRPr="00C52D0B">
        <w:rPr>
          <w:lang w:val="sl-SI"/>
        </w:rPr>
        <w:t xml:space="preserve"> pada vrijednosti neto imovine fonda, kao i vri</w:t>
      </w:r>
      <w:r w:rsidR="005B7E1D" w:rsidRPr="00C52D0B">
        <w:rPr>
          <w:lang w:val="sl-SI"/>
        </w:rPr>
        <w:t xml:space="preserve">jednosti neto imovine fonda po </w:t>
      </w:r>
      <w:r w:rsidRPr="00C52D0B">
        <w:rPr>
          <w:lang w:val="sl-SI"/>
        </w:rPr>
        <w:t>a</w:t>
      </w:r>
      <w:r w:rsidR="005B7E1D" w:rsidRPr="00C52D0B">
        <w:rPr>
          <w:lang w:val="sl-SI"/>
        </w:rPr>
        <w:t>k</w:t>
      </w:r>
      <w:r w:rsidRPr="00C52D0B">
        <w:rPr>
          <w:lang w:val="sl-SI"/>
        </w:rPr>
        <w:t>ciji f</w:t>
      </w:r>
      <w:r w:rsidR="0064375A" w:rsidRPr="00C52D0B">
        <w:rPr>
          <w:lang w:val="sl-SI"/>
        </w:rPr>
        <w:t>onda, u odnosu na prethodnu 2012</w:t>
      </w:r>
      <w:r w:rsidRPr="00C52D0B">
        <w:rPr>
          <w:lang w:val="sl-SI"/>
        </w:rPr>
        <w:t>. poslovnu godinu, dok su troškovi fonda imali blagi  pad na godišnjem nivou.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Neto imovina fon</w:t>
      </w:r>
      <w:r w:rsidR="0064375A" w:rsidRPr="00C52D0B">
        <w:rPr>
          <w:lang w:val="sl-SI"/>
        </w:rPr>
        <w:t>da u 2013. godini je imala</w:t>
      </w:r>
      <w:r w:rsidRPr="00C52D0B">
        <w:rPr>
          <w:lang w:val="sl-SI"/>
        </w:rPr>
        <w:t xml:space="preserve"> porast</w:t>
      </w:r>
      <w:r w:rsidR="0064375A" w:rsidRPr="00C52D0B">
        <w:rPr>
          <w:lang w:val="sl-SI"/>
        </w:rPr>
        <w:t xml:space="preserve"> u odnosu na prethodnu poslovnu godinu</w:t>
      </w:r>
      <w:r w:rsidRPr="00C52D0B">
        <w:rPr>
          <w:lang w:val="sl-SI"/>
        </w:rPr>
        <w:t xml:space="preserve">, dok je neto imovina fonda po </w:t>
      </w:r>
      <w:r w:rsidR="0064375A" w:rsidRPr="00C52D0B">
        <w:rPr>
          <w:lang w:val="sl-SI"/>
        </w:rPr>
        <w:t>akciji fonda i dalje imala takodje pad na godišnjem nivou.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Značajno je da su troško</w:t>
      </w:r>
      <w:r w:rsidR="0064375A" w:rsidRPr="00C52D0B">
        <w:rPr>
          <w:lang w:val="sl-SI"/>
        </w:rPr>
        <w:t>vi fonda u 2013. godini</w:t>
      </w:r>
      <w:r w:rsidRPr="00C52D0B">
        <w:rPr>
          <w:lang w:val="sl-SI"/>
        </w:rPr>
        <w:t xml:space="preserve"> smanjeni u odnosu na isti period prethodne poslovne godine, pošto je njihovo učeše u godišnjim prihodima fonda s</w:t>
      </w:r>
      <w:r w:rsidR="00B73969">
        <w:rPr>
          <w:lang w:val="sl-SI"/>
        </w:rPr>
        <w:t>manjeno sa 2,32  u 2012. godini na 1,59</w:t>
      </w:r>
      <w:r w:rsidRPr="00C52D0B">
        <w:rPr>
          <w:lang w:val="sl-SI"/>
        </w:rPr>
        <w:t xml:space="preserve"> u 2013. godini.</w:t>
      </w:r>
    </w:p>
    <w:p w:rsidR="000C3C7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lastRenderedPageBreak/>
        <w:t>Ovi p</w:t>
      </w:r>
      <w:r w:rsidR="0064375A" w:rsidRPr="00C52D0B">
        <w:rPr>
          <w:lang w:val="sl-SI"/>
        </w:rPr>
        <w:t>okazatelji fonda u 2014</w:t>
      </w:r>
      <w:r w:rsidR="005B7E1D" w:rsidRPr="00C52D0B">
        <w:rPr>
          <w:lang w:val="sl-SI"/>
        </w:rPr>
        <w:t>. godini</w:t>
      </w:r>
      <w:r w:rsidR="0064375A" w:rsidRPr="00C52D0B">
        <w:rPr>
          <w:lang w:val="sl-SI"/>
        </w:rPr>
        <w:t xml:space="preserve">, su </w:t>
      </w:r>
      <w:r w:rsidRPr="00C52D0B">
        <w:rPr>
          <w:lang w:val="sl-SI"/>
        </w:rPr>
        <w:t>u odnosu na prethodne dvije poslovne godine</w:t>
      </w:r>
      <w:r w:rsidR="0064375A" w:rsidRPr="00C52D0B">
        <w:rPr>
          <w:lang w:val="sl-SI"/>
        </w:rPr>
        <w:t xml:space="preserve"> bili mnogo bolji</w:t>
      </w:r>
      <w:r w:rsidRPr="00C52D0B">
        <w:rPr>
          <w:lang w:val="sl-SI"/>
        </w:rPr>
        <w:t xml:space="preserve">, </w:t>
      </w:r>
      <w:r w:rsidR="0064375A" w:rsidRPr="00C52D0B">
        <w:rPr>
          <w:lang w:val="sl-SI"/>
        </w:rPr>
        <w:t>pošto je došlo do značajnog porasta vrijednosti neto imovine fonda, u odnosu na isti period prethodne godine, kao i do porasta neto imovine fonda po akciji.</w:t>
      </w:r>
      <w:r w:rsidR="00053205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 </w:t>
      </w:r>
    </w:p>
    <w:p w:rsidR="000E65C2" w:rsidRPr="00C52D0B" w:rsidRDefault="000E65C2" w:rsidP="005B7E1D">
      <w:pPr>
        <w:jc w:val="both"/>
        <w:rPr>
          <w:lang w:val="sl-SI"/>
        </w:rPr>
      </w:pPr>
    </w:p>
    <w:p w:rsidR="000E65C2" w:rsidRPr="00C52D0B" w:rsidRDefault="000E65C2" w:rsidP="005B7E1D">
      <w:pPr>
        <w:jc w:val="both"/>
        <w:rPr>
          <w:lang w:val="sl-SI"/>
        </w:rPr>
      </w:pPr>
      <w:r w:rsidRPr="00C52D0B">
        <w:rPr>
          <w:lang w:val="sl-SI"/>
        </w:rPr>
        <w:t>U sl</w:t>
      </w:r>
      <w:r w:rsidR="005B7E1D" w:rsidRPr="00C52D0B">
        <w:rPr>
          <w:lang w:val="sl-SI"/>
        </w:rPr>
        <w:t>j</w:t>
      </w:r>
      <w:r w:rsidRPr="00C52D0B"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 w:rsidRPr="00C52D0B">
        <w:rPr>
          <w:lang w:val="sl-SI"/>
        </w:rPr>
        <w:t>0</w:t>
      </w:r>
      <w:r w:rsidRPr="00C52D0B">
        <w:rPr>
          <w:lang w:val="sl-SI"/>
        </w:rPr>
        <w:t>1.01.201</w:t>
      </w:r>
      <w:r w:rsidR="005B7E1D" w:rsidRPr="00C52D0B">
        <w:rPr>
          <w:lang w:val="sl-SI"/>
        </w:rPr>
        <w:t>1</w:t>
      </w:r>
      <w:r w:rsidRPr="00C52D0B">
        <w:rPr>
          <w:lang w:val="sl-SI"/>
        </w:rPr>
        <w:t>. do 31.12.2013. godine: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2.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6"/>
        <w:gridCol w:w="2406"/>
        <w:gridCol w:w="2406"/>
      </w:tblGrid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2406" w:type="dxa"/>
          </w:tcPr>
          <w:p w:rsidR="00013B1B" w:rsidRPr="00C52D0B" w:rsidRDefault="00013B1B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2014.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2013.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2012.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1.330.051,93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1.265.491,29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1.362.851,64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1.368.984,57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1.540.148,71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0,59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  0,68</w:t>
            </w:r>
          </w:p>
        </w:tc>
      </w:tr>
    </w:tbl>
    <w:p w:rsidR="00BB6932" w:rsidRPr="00C52D0B" w:rsidRDefault="00BB6932" w:rsidP="005B7E1D">
      <w:pPr>
        <w:jc w:val="both"/>
        <w:rPr>
          <w:lang w:val="sl-SI"/>
        </w:rPr>
      </w:pPr>
    </w:p>
    <w:p w:rsidR="00A22919" w:rsidRPr="00C52D0B" w:rsidRDefault="00A22919" w:rsidP="005B7E1D">
      <w:pPr>
        <w:jc w:val="both"/>
        <w:rPr>
          <w:b/>
          <w:i/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>9.2 Berzanski posrednici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U skladu sa članom 175. Zakona o investicionim fondovima, dajemo tabelarni prikaz brokerski kuća, koje su za račun fonda prod</w:t>
      </w:r>
      <w:r w:rsidR="00824220" w:rsidRPr="00C52D0B">
        <w:rPr>
          <w:lang w:val="sl-SI"/>
        </w:rPr>
        <w:t>avale i kupovale ulaganja u 2014</w:t>
      </w:r>
      <w:r w:rsidRPr="00C52D0B">
        <w:rPr>
          <w:lang w:val="sl-SI"/>
        </w:rPr>
        <w:t>. godini: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C52D0B">
        <w:tc>
          <w:tcPr>
            <w:tcW w:w="1188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C52D0B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C52D0B" w:rsidRDefault="0068781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             </w:t>
            </w:r>
            <w:r w:rsidR="000C3C73"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>
        <w:tc>
          <w:tcPr>
            <w:tcW w:w="1188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Nova banka a</w:t>
            </w:r>
            <w:r w:rsidR="002B48BB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>d</w:t>
            </w:r>
            <w:r w:rsidR="002B48BB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 xml:space="preserve"> Banja Luka</w:t>
            </w:r>
            <w:r w:rsidR="002B48BB" w:rsidRPr="00C52D0B">
              <w:rPr>
                <w:sz w:val="20"/>
                <w:szCs w:val="20"/>
                <w:lang w:val="sl-SI"/>
              </w:rPr>
              <w:t xml:space="preserve"> – Broker nova</w:t>
            </w:r>
            <w:r w:rsidRPr="00C52D0B">
              <w:rPr>
                <w:sz w:val="20"/>
                <w:szCs w:val="20"/>
                <w:lang w:val="sl-SI"/>
              </w:rPr>
              <w:t xml:space="preserve">                                   </w:t>
            </w:r>
          </w:p>
        </w:tc>
        <w:tc>
          <w:tcPr>
            <w:tcW w:w="2406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  <w:r w:rsidR="002B48BB" w:rsidRPr="00C52D0B">
              <w:rPr>
                <w:sz w:val="20"/>
                <w:szCs w:val="20"/>
                <w:lang w:val="sl-SI"/>
              </w:rPr>
              <w:t>6</w:t>
            </w:r>
            <w:r w:rsidRPr="00C52D0B">
              <w:rPr>
                <w:sz w:val="20"/>
                <w:szCs w:val="20"/>
                <w:lang w:val="sl-SI"/>
              </w:rPr>
              <w:t>.6</w:t>
            </w:r>
            <w:r w:rsidR="002B48BB" w:rsidRPr="00C52D0B">
              <w:rPr>
                <w:sz w:val="20"/>
                <w:szCs w:val="20"/>
                <w:lang w:val="sl-SI"/>
              </w:rPr>
              <w:t>7</w:t>
            </w:r>
            <w:r w:rsidRPr="00C52D0B">
              <w:rPr>
                <w:sz w:val="20"/>
                <w:szCs w:val="20"/>
                <w:lang w:val="sl-SI"/>
              </w:rPr>
              <w:t>7</w:t>
            </w:r>
            <w:r w:rsidR="002B48BB" w:rsidRPr="00C52D0B">
              <w:rPr>
                <w:sz w:val="20"/>
                <w:szCs w:val="20"/>
                <w:lang w:val="sl-SI"/>
              </w:rPr>
              <w:t>,29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KM              </w:t>
            </w:r>
          </w:p>
        </w:tc>
        <w:tc>
          <w:tcPr>
            <w:tcW w:w="2406" w:type="dxa"/>
          </w:tcPr>
          <w:p w:rsidR="000C3C73" w:rsidRPr="00C52D0B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>9.3. Pokazatelji ukupnih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Prosječna godišnja neto imovine fonda                                       </w:t>
            </w:r>
          </w:p>
        </w:tc>
        <w:tc>
          <w:tcPr>
            <w:tcW w:w="4811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1.3</w:t>
            </w:r>
            <w:r w:rsidR="002B48BB" w:rsidRPr="00C52D0B">
              <w:rPr>
                <w:sz w:val="20"/>
                <w:szCs w:val="20"/>
                <w:lang w:val="sl-SI"/>
              </w:rPr>
              <w:t>7</w:t>
            </w:r>
            <w:r w:rsidRPr="00C52D0B">
              <w:rPr>
                <w:sz w:val="20"/>
                <w:szCs w:val="20"/>
                <w:lang w:val="sl-SI"/>
              </w:rPr>
              <w:t>1.</w:t>
            </w:r>
            <w:r w:rsidR="002B48BB" w:rsidRPr="00C52D0B">
              <w:rPr>
                <w:sz w:val="20"/>
                <w:szCs w:val="20"/>
                <w:lang w:val="sl-SI"/>
              </w:rPr>
              <w:t>467,49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Ukupni troškovi fonda                                                                      </w:t>
            </w:r>
          </w:p>
        </w:tc>
        <w:tc>
          <w:tcPr>
            <w:tcW w:w="4811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</w:t>
            </w:r>
            <w:r w:rsidR="002B48BB" w:rsidRPr="00C52D0B">
              <w:rPr>
                <w:sz w:val="20"/>
                <w:szCs w:val="20"/>
                <w:lang w:val="sl-SI"/>
              </w:rPr>
              <w:t>2</w:t>
            </w:r>
            <w:r w:rsidRPr="00C52D0B">
              <w:rPr>
                <w:sz w:val="20"/>
                <w:szCs w:val="20"/>
                <w:lang w:val="sl-SI"/>
              </w:rPr>
              <w:t>.</w:t>
            </w:r>
            <w:r w:rsidR="002B48BB" w:rsidRPr="00C52D0B">
              <w:rPr>
                <w:sz w:val="20"/>
                <w:szCs w:val="20"/>
                <w:lang w:val="sl-SI"/>
              </w:rPr>
              <w:t>421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Udio troškova u prosječnoj godišnjoj neto vrijednosti imovine Fonda (%)</w:t>
            </w:r>
          </w:p>
        </w:tc>
        <w:tc>
          <w:tcPr>
            <w:tcW w:w="4811" w:type="dxa"/>
          </w:tcPr>
          <w:p w:rsidR="000C3C73" w:rsidRPr="00C52D0B" w:rsidRDefault="002B48BB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1,63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Članom 67. Zakona o investicionim fondovima je propisano da ukupni troškovi f</w:t>
      </w:r>
      <w:r w:rsidR="0068781D" w:rsidRPr="00C52D0B">
        <w:rPr>
          <w:lang w:val="sl-SI"/>
        </w:rPr>
        <w:t>onda na godišnjem nivou ne mogu</w:t>
      </w:r>
      <w:r w:rsidRPr="00C52D0B">
        <w:rPr>
          <w:lang w:val="sl-SI"/>
        </w:rPr>
        <w:t xml:space="preserve"> preći 3,50 % od prosječne neto vrijednosti imovine fonda, a iz ovih pokazatelja se </w:t>
      </w:r>
      <w:r w:rsidR="00824220" w:rsidRPr="00C52D0B">
        <w:rPr>
          <w:lang w:val="sl-SI"/>
        </w:rPr>
        <w:t>vidi da su troškovi fonda u 2014. godini bili 1,63</w:t>
      </w:r>
      <w:r w:rsidRPr="00C52D0B">
        <w:rPr>
          <w:lang w:val="sl-SI"/>
        </w:rPr>
        <w:t xml:space="preserve"> % od prosječne</w:t>
      </w:r>
      <w:r w:rsidR="00824220" w:rsidRPr="00C52D0B">
        <w:rPr>
          <w:lang w:val="sl-SI"/>
        </w:rPr>
        <w:t xml:space="preserve"> neto vrijednosti imovine fonda, pa iako su troškovi fonda imali blagi porast u odnosu na isti period prethodne poslovne godine, možemo konstatovati da su troškovi kretali u granicama dozvoljenih. </w:t>
      </w:r>
    </w:p>
    <w:p w:rsidR="0022048B" w:rsidRPr="00C52D0B" w:rsidRDefault="0022048B">
      <w:pPr>
        <w:rPr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 xml:space="preserve">9.4. Nadzorni odbor fonda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Slobodanka Jelić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Aleksandar Dukić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</w:tbl>
    <w:p w:rsidR="005B7E1D" w:rsidRPr="00C52D0B" w:rsidRDefault="005B7E1D">
      <w:pPr>
        <w:rPr>
          <w:lang w:val="sl-SI"/>
        </w:rPr>
      </w:pPr>
    </w:p>
    <w:p w:rsidR="00063E47" w:rsidRPr="00C52D0B" w:rsidRDefault="00063E47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Visina mjesečnih naknada članovima nadzornog odbora fonda u 2014. godini je ostala na istom nivou kao i u 2013. </w:t>
      </w:r>
      <w:r w:rsidR="00AF275F" w:rsidRPr="00C52D0B">
        <w:rPr>
          <w:lang w:val="sl-SI"/>
        </w:rPr>
        <w:t>g</w:t>
      </w:r>
      <w:r w:rsidRPr="00C52D0B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C52D0B" w:rsidRDefault="005B7E1D" w:rsidP="005B7E1D">
      <w:pPr>
        <w:jc w:val="both"/>
        <w:rPr>
          <w:lang w:val="sl-SI"/>
        </w:rPr>
      </w:pPr>
      <w:r w:rsidRPr="00C52D0B">
        <w:rPr>
          <w:lang w:val="sl-SI"/>
        </w:rPr>
        <w:t>Ni</w:t>
      </w:r>
      <w:r w:rsidR="000C3C73" w:rsidRPr="00C52D0B">
        <w:rPr>
          <w:lang w:val="sl-SI"/>
        </w:rPr>
        <w:t>jedan od članova nadzornog odbora fonda nije vlasnik akcija fonda.</w:t>
      </w:r>
    </w:p>
    <w:p w:rsidR="000C3C73" w:rsidRPr="00C52D0B" w:rsidRDefault="002B48BB">
      <w:pPr>
        <w:rPr>
          <w:lang w:val="sl-SI"/>
        </w:rPr>
      </w:pPr>
      <w:r w:rsidRPr="00C52D0B">
        <w:rPr>
          <w:lang w:val="sl-SI"/>
        </w:rPr>
        <w:lastRenderedPageBreak/>
        <w:t>Napomena: Tokom 2014. godine Fond je na ime naknada Nadzornom odboru plaćao i poseban doprinos solidarnosti</w:t>
      </w:r>
      <w:r w:rsidR="00C52D0B">
        <w:rPr>
          <w:lang w:val="sl-SI"/>
        </w:rPr>
        <w:t>.</w:t>
      </w:r>
    </w:p>
    <w:p w:rsidR="002B48BB" w:rsidRPr="00C52D0B" w:rsidRDefault="002B48BB">
      <w:pPr>
        <w:rPr>
          <w:lang w:val="sl-SI"/>
        </w:rPr>
      </w:pPr>
    </w:p>
    <w:p w:rsidR="000C3C73" w:rsidRPr="00C52D0B" w:rsidRDefault="000C3C73" w:rsidP="002B48BB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072"/>
        <w:gridCol w:w="2406"/>
        <w:gridCol w:w="2406"/>
      </w:tblGrid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2406" w:type="dxa"/>
          </w:tcPr>
          <w:p w:rsidR="002B48BB" w:rsidRPr="00C52D0B" w:rsidRDefault="002B48BB" w:rsidP="00A22919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31.12.2014.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31.12.2013.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33,359547%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33,35 %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11,320006%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4072" w:type="dxa"/>
          </w:tcPr>
          <w:p w:rsidR="002B48BB" w:rsidRPr="00C52D0B" w:rsidRDefault="002B48BB" w:rsidP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11,119849%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8,895879%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8,895879%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8,699414%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8,69 %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4,450119%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4,45 %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3,949770%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4,43 %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2,223970%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2,22 %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Radić Stevan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1,823655%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1,12 %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U vlasničkoj s</w:t>
      </w:r>
      <w:r w:rsidR="00AF275F">
        <w:rPr>
          <w:lang w:val="sl-SI"/>
        </w:rPr>
        <w:t>trukturi fonda na dan 31.12.2014</w:t>
      </w:r>
      <w:r>
        <w:rPr>
          <w:lang w:val="sl-SI"/>
        </w:rPr>
        <w:t>. godine nije bilo promjena u kapitalu 10 najvećih akcionara</w:t>
      </w:r>
      <w:r w:rsidR="0068781D">
        <w:rPr>
          <w:lang w:val="sl-SI"/>
        </w:rPr>
        <w:t xml:space="preserve">, </w:t>
      </w:r>
      <w:r>
        <w:rPr>
          <w:lang w:val="sl-SI"/>
        </w:rPr>
        <w:t>u odnosu na isti period prethodne godin</w:t>
      </w:r>
      <w:r w:rsidR="000C203A">
        <w:rPr>
          <w:lang w:val="sl-SI"/>
        </w:rPr>
        <w:t>e, iz čega slijedi da se učešće</w:t>
      </w:r>
      <w:r>
        <w:rPr>
          <w:lang w:val="sl-SI"/>
        </w:rPr>
        <w:t xml:space="preserve"> akcionara </w:t>
      </w:r>
      <w:r w:rsidR="000C203A">
        <w:rPr>
          <w:lang w:val="sl-SI"/>
        </w:rPr>
        <w:t xml:space="preserve">u ukupnoj imovini fonda </w:t>
      </w:r>
      <w:r>
        <w:rPr>
          <w:lang w:val="sl-SI"/>
        </w:rPr>
        <w:t>nije promijeni</w:t>
      </w:r>
      <w:r w:rsidR="000C203A">
        <w:rPr>
          <w:lang w:val="sl-SI"/>
        </w:rPr>
        <w:t>l</w:t>
      </w:r>
      <w:r>
        <w:rPr>
          <w:lang w:val="sl-SI"/>
        </w:rPr>
        <w:t>o u pogl</w:t>
      </w:r>
      <w:r w:rsidR="000C203A">
        <w:rPr>
          <w:lang w:val="sl-SI"/>
        </w:rPr>
        <w:t>edu poslednje dvije godine</w:t>
      </w:r>
      <w:r>
        <w:rPr>
          <w:lang w:val="sl-SI"/>
        </w:rPr>
        <w:t xml:space="preserve">, </w:t>
      </w:r>
      <w:r w:rsidR="00AF275F">
        <w:rPr>
          <w:lang w:val="sl-SI"/>
        </w:rPr>
        <w:t xml:space="preserve">ali je samo jedan akcionar smanjio svoje učešće u ukupnom kapitalu fonda, dok je istovremeno jedaan akcionar povećao svoje učešće u ukupnom akcijskom kapitalu fonda u 2014. godini. 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Prilog: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prodaju iz portfelja fonda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držanje u portfelju fonda</w:t>
      </w:r>
    </w:p>
    <w:p w:rsidR="000C3C73" w:rsidRDefault="000C3C73">
      <w:pPr>
        <w:rPr>
          <w:lang w:val="sl-SI"/>
        </w:rPr>
      </w:pPr>
    </w:p>
    <w:p w:rsidR="008A075C" w:rsidRDefault="000C3C73">
      <w:pPr>
        <w:rPr>
          <w:lang w:val="sl-SI"/>
        </w:rPr>
      </w:pPr>
      <w:r>
        <w:rPr>
          <w:lang w:val="sl-SI"/>
        </w:rPr>
        <w:t>Dostavlja se:</w:t>
      </w:r>
    </w:p>
    <w:p w:rsidR="00A358F3" w:rsidRDefault="0068781D" w:rsidP="0022048B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 xml:space="preserve">Skupštini akcionara </w:t>
      </w:r>
      <w:r w:rsidR="00A22919">
        <w:rPr>
          <w:lang w:val="sl-SI"/>
        </w:rPr>
        <w:t>F</w:t>
      </w:r>
      <w:r>
        <w:rPr>
          <w:lang w:val="sl-SI"/>
        </w:rPr>
        <w:t>onda</w:t>
      </w:r>
      <w:r w:rsidR="00A358F3">
        <w:rPr>
          <w:lang w:val="sl-SI"/>
        </w:rPr>
        <w:t>,</w:t>
      </w:r>
    </w:p>
    <w:p w:rsidR="00A22919" w:rsidRPr="005B7E1D" w:rsidRDefault="00AF275F" w:rsidP="005B7E1D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A/</w:t>
      </w:r>
      <w:r w:rsidR="00C52D0B">
        <w:rPr>
          <w:lang w:val="sl-SI"/>
        </w:rPr>
        <w:t>a</w:t>
      </w:r>
      <w:r w:rsidR="00A22919">
        <w:rPr>
          <w:lang w:val="sl-SI"/>
        </w:rPr>
        <w:t>.</w:t>
      </w:r>
      <w:r w:rsidR="008A075C">
        <w:rPr>
          <w:lang w:val="sl-SI"/>
        </w:rPr>
        <w:t xml:space="preserve">                                          </w:t>
      </w:r>
      <w:r w:rsidR="005B7E1D">
        <w:rPr>
          <w:lang w:val="sl-SI"/>
        </w:rPr>
        <w:t xml:space="preserve">                          </w:t>
      </w:r>
    </w:p>
    <w:p w:rsidR="00B73969" w:rsidRDefault="00A2291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</w:t>
      </w:r>
      <w:r w:rsidR="00D65F29">
        <w:rPr>
          <w:lang w:val="sl-SI"/>
        </w:rPr>
        <w:t xml:space="preserve">                                                       </w:t>
      </w:r>
    </w:p>
    <w:p w:rsidR="00B73969" w:rsidRDefault="00B73969" w:rsidP="00A22919">
      <w:pPr>
        <w:ind w:left="360"/>
        <w:jc w:val="center"/>
        <w:rPr>
          <w:lang w:val="sl-SI"/>
        </w:rPr>
      </w:pPr>
    </w:p>
    <w:p w:rsidR="00B73969" w:rsidRDefault="00B73969" w:rsidP="00A22919">
      <w:pPr>
        <w:ind w:left="360"/>
        <w:jc w:val="center"/>
        <w:rPr>
          <w:lang w:val="sl-SI"/>
        </w:rPr>
      </w:pPr>
    </w:p>
    <w:p w:rsidR="00B73969" w:rsidRDefault="00B73969" w:rsidP="00A22919">
      <w:pPr>
        <w:ind w:left="360"/>
        <w:jc w:val="center"/>
        <w:rPr>
          <w:lang w:val="sl-SI"/>
        </w:rPr>
      </w:pPr>
    </w:p>
    <w:p w:rsidR="00A22919" w:rsidRDefault="00B7396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</w:t>
      </w:r>
      <w:r w:rsidR="00D65F29">
        <w:rPr>
          <w:lang w:val="sl-SI"/>
        </w:rPr>
        <w:t xml:space="preserve">       PREDSJEDNIK</w:t>
      </w:r>
      <w:r w:rsidR="00A22919">
        <w:rPr>
          <w:lang w:val="sl-SI"/>
        </w:rPr>
        <w:t xml:space="preserve">                                          </w:t>
      </w:r>
      <w:r w:rsidR="000C203A">
        <w:rPr>
          <w:lang w:val="sl-SI"/>
        </w:rPr>
        <w:t xml:space="preserve">                     </w:t>
      </w:r>
    </w:p>
    <w:p w:rsidR="000C3C73" w:rsidRDefault="008A075C" w:rsidP="00A22919">
      <w:pPr>
        <w:ind w:left="360"/>
        <w:jc w:val="right"/>
        <w:rPr>
          <w:lang w:val="sl-SI"/>
        </w:rPr>
      </w:pPr>
      <w:r w:rsidRPr="00A22919">
        <w:rPr>
          <w:lang w:val="sl-SI"/>
        </w:rPr>
        <w:t xml:space="preserve"> UPRAVN</w:t>
      </w:r>
      <w:r w:rsidR="00D65F29">
        <w:rPr>
          <w:lang w:val="sl-SI"/>
        </w:rPr>
        <w:t>OG</w:t>
      </w:r>
      <w:r w:rsidR="000C203A">
        <w:rPr>
          <w:lang w:val="sl-SI"/>
        </w:rPr>
        <w:t xml:space="preserve"> </w:t>
      </w:r>
      <w:r w:rsidRPr="00A22919">
        <w:rPr>
          <w:lang w:val="sl-SI"/>
        </w:rPr>
        <w:t xml:space="preserve"> ODBOR</w:t>
      </w:r>
      <w:r w:rsidR="00D65F29">
        <w:rPr>
          <w:lang w:val="sl-SI"/>
        </w:rPr>
        <w:t>A</w:t>
      </w:r>
    </w:p>
    <w:p w:rsidR="00A22919" w:rsidRPr="00A22919" w:rsidRDefault="00D65F2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</w:t>
      </w:r>
      <w:r w:rsidR="00A22919">
        <w:rPr>
          <w:lang w:val="sl-SI"/>
        </w:rPr>
        <w:t xml:space="preserve">                                                              </w:t>
      </w:r>
      <w:r w:rsidR="000C203A">
        <w:rPr>
          <w:lang w:val="sl-SI"/>
        </w:rPr>
        <w:t xml:space="preserve">                   </w:t>
      </w:r>
    </w:p>
    <w:p w:rsidR="000C3C73" w:rsidRPr="00D65F29" w:rsidRDefault="00D65F29" w:rsidP="00D65F2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</w:t>
      </w:r>
      <w:r w:rsidR="001E4F1A">
        <w:rPr>
          <w:lang w:val="sl-SI"/>
        </w:rPr>
        <w:t xml:space="preserve">                               d</w:t>
      </w:r>
      <w:r>
        <w:rPr>
          <w:lang w:val="sl-SI"/>
        </w:rPr>
        <w:t>r Aleš Musar</w:t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0C3C73">
        <w:rPr>
          <w:lang w:val="sl-SI"/>
        </w:rPr>
        <w:t xml:space="preserve">                                                                                      </w:t>
      </w:r>
      <w:r w:rsidR="005B7E1D">
        <w:rPr>
          <w:lang w:val="sl-SI"/>
        </w:rPr>
        <w:t xml:space="preserve">                    </w:t>
      </w:r>
      <w:r w:rsidR="00A358F3">
        <w:rPr>
          <w:lang w:val="sl-SI"/>
        </w:rPr>
        <w:t xml:space="preserve">                                                                                            </w:t>
      </w:r>
      <w:r>
        <w:rPr>
          <w:lang w:val="sl-SI"/>
        </w:rPr>
        <w:t xml:space="preserve">                      </w:t>
      </w:r>
      <w:r w:rsidR="000C3C73">
        <w:rPr>
          <w:lang w:val="sl-SI"/>
        </w:rPr>
        <w:t xml:space="preserve">                                                                               </w:t>
      </w:r>
      <w:r w:rsidR="00A358F3">
        <w:rPr>
          <w:lang w:val="sl-SI"/>
        </w:rPr>
        <w:t xml:space="preserve">     </w:t>
      </w:r>
      <w:r w:rsidR="008A075C">
        <w:rPr>
          <w:lang w:val="sl-SI"/>
        </w:rPr>
        <w:t xml:space="preserve">                   </w:t>
      </w:r>
      <w:r w:rsidR="000C3C73">
        <w:rPr>
          <w:i/>
          <w:iCs/>
          <w:lang w:val="sl-SI"/>
        </w:rPr>
        <w:t xml:space="preserve">   </w:t>
      </w:r>
    </w:p>
    <w:sectPr w:rsidR="000C3C73" w:rsidRPr="00D65F29" w:rsidSect="00C7743D"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63" w:rsidRDefault="00783C63" w:rsidP="001745E7">
      <w:r>
        <w:separator/>
      </w:r>
    </w:p>
  </w:endnote>
  <w:endnote w:type="continuationSeparator" w:id="1">
    <w:p w:rsidR="00783C63" w:rsidRDefault="00783C63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63" w:rsidRDefault="00783C63">
    <w:pPr>
      <w:pStyle w:val="Footer"/>
      <w:jc w:val="center"/>
    </w:pPr>
  </w:p>
  <w:p w:rsidR="00783C63" w:rsidRDefault="0078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63" w:rsidRDefault="00783C63" w:rsidP="001745E7">
      <w:r>
        <w:separator/>
      </w:r>
    </w:p>
  </w:footnote>
  <w:footnote w:type="continuationSeparator" w:id="1">
    <w:p w:rsidR="00783C63" w:rsidRDefault="00783C63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18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13B1B"/>
    <w:rsid w:val="00034865"/>
    <w:rsid w:val="0003695C"/>
    <w:rsid w:val="00050586"/>
    <w:rsid w:val="00053205"/>
    <w:rsid w:val="000570D8"/>
    <w:rsid w:val="00063E47"/>
    <w:rsid w:val="000845FB"/>
    <w:rsid w:val="00097875"/>
    <w:rsid w:val="000A1B24"/>
    <w:rsid w:val="000A61ED"/>
    <w:rsid w:val="000B54AD"/>
    <w:rsid w:val="000C203A"/>
    <w:rsid w:val="000C321C"/>
    <w:rsid w:val="000C3C73"/>
    <w:rsid w:val="000E4E1D"/>
    <w:rsid w:val="000E65C2"/>
    <w:rsid w:val="001013B3"/>
    <w:rsid w:val="001054D8"/>
    <w:rsid w:val="0014340D"/>
    <w:rsid w:val="00156398"/>
    <w:rsid w:val="0016183C"/>
    <w:rsid w:val="00174084"/>
    <w:rsid w:val="001745E7"/>
    <w:rsid w:val="00182FB7"/>
    <w:rsid w:val="00186990"/>
    <w:rsid w:val="00197B69"/>
    <w:rsid w:val="001D0422"/>
    <w:rsid w:val="001D3F7E"/>
    <w:rsid w:val="001D701B"/>
    <w:rsid w:val="001E0153"/>
    <w:rsid w:val="001E4F1A"/>
    <w:rsid w:val="001E605A"/>
    <w:rsid w:val="00211A13"/>
    <w:rsid w:val="0022048B"/>
    <w:rsid w:val="00221ADE"/>
    <w:rsid w:val="00224FDA"/>
    <w:rsid w:val="00236202"/>
    <w:rsid w:val="00255F85"/>
    <w:rsid w:val="00270442"/>
    <w:rsid w:val="0027545D"/>
    <w:rsid w:val="00293A9F"/>
    <w:rsid w:val="002A7955"/>
    <w:rsid w:val="002B27DA"/>
    <w:rsid w:val="002B48BB"/>
    <w:rsid w:val="002C3595"/>
    <w:rsid w:val="002D6878"/>
    <w:rsid w:val="002E0EF9"/>
    <w:rsid w:val="002E1CEA"/>
    <w:rsid w:val="002E4858"/>
    <w:rsid w:val="002F0193"/>
    <w:rsid w:val="002F0C47"/>
    <w:rsid w:val="002F5000"/>
    <w:rsid w:val="00321005"/>
    <w:rsid w:val="003469E3"/>
    <w:rsid w:val="00362729"/>
    <w:rsid w:val="00365281"/>
    <w:rsid w:val="00387D3E"/>
    <w:rsid w:val="00396E16"/>
    <w:rsid w:val="003A22E1"/>
    <w:rsid w:val="003A2DC1"/>
    <w:rsid w:val="003C0CEE"/>
    <w:rsid w:val="003C37CD"/>
    <w:rsid w:val="003C3F63"/>
    <w:rsid w:val="003E047E"/>
    <w:rsid w:val="003E0EF0"/>
    <w:rsid w:val="003E10AF"/>
    <w:rsid w:val="00400827"/>
    <w:rsid w:val="00404AB6"/>
    <w:rsid w:val="00416002"/>
    <w:rsid w:val="00426C95"/>
    <w:rsid w:val="00445CE6"/>
    <w:rsid w:val="0045309A"/>
    <w:rsid w:val="0045659F"/>
    <w:rsid w:val="00463341"/>
    <w:rsid w:val="004671B2"/>
    <w:rsid w:val="00483055"/>
    <w:rsid w:val="0048679F"/>
    <w:rsid w:val="004A06C6"/>
    <w:rsid w:val="004B785F"/>
    <w:rsid w:val="004E0727"/>
    <w:rsid w:val="004E1621"/>
    <w:rsid w:val="004F07A3"/>
    <w:rsid w:val="004F3D46"/>
    <w:rsid w:val="004F7194"/>
    <w:rsid w:val="00521F5E"/>
    <w:rsid w:val="005419A7"/>
    <w:rsid w:val="005618C7"/>
    <w:rsid w:val="00564D58"/>
    <w:rsid w:val="00576CE5"/>
    <w:rsid w:val="00577032"/>
    <w:rsid w:val="005926AB"/>
    <w:rsid w:val="0059672D"/>
    <w:rsid w:val="005A1F89"/>
    <w:rsid w:val="005B6653"/>
    <w:rsid w:val="005B7E1D"/>
    <w:rsid w:val="00605D5D"/>
    <w:rsid w:val="00617E0B"/>
    <w:rsid w:val="00626928"/>
    <w:rsid w:val="0064375A"/>
    <w:rsid w:val="00647430"/>
    <w:rsid w:val="0064765C"/>
    <w:rsid w:val="00654D4C"/>
    <w:rsid w:val="00655412"/>
    <w:rsid w:val="00655CA1"/>
    <w:rsid w:val="00656685"/>
    <w:rsid w:val="00657B53"/>
    <w:rsid w:val="006618EB"/>
    <w:rsid w:val="00662144"/>
    <w:rsid w:val="00671160"/>
    <w:rsid w:val="0068781D"/>
    <w:rsid w:val="00690B76"/>
    <w:rsid w:val="0069442E"/>
    <w:rsid w:val="00696AFA"/>
    <w:rsid w:val="006B2499"/>
    <w:rsid w:val="006E68CB"/>
    <w:rsid w:val="006E747E"/>
    <w:rsid w:val="006F4D80"/>
    <w:rsid w:val="006F6581"/>
    <w:rsid w:val="006F73A7"/>
    <w:rsid w:val="007020BB"/>
    <w:rsid w:val="007259C6"/>
    <w:rsid w:val="00751BE5"/>
    <w:rsid w:val="00755F79"/>
    <w:rsid w:val="00760508"/>
    <w:rsid w:val="007647AE"/>
    <w:rsid w:val="00783C63"/>
    <w:rsid w:val="007A4743"/>
    <w:rsid w:val="007E6617"/>
    <w:rsid w:val="007E686A"/>
    <w:rsid w:val="007E7E67"/>
    <w:rsid w:val="007F57CF"/>
    <w:rsid w:val="007F663E"/>
    <w:rsid w:val="0080729C"/>
    <w:rsid w:val="00807410"/>
    <w:rsid w:val="00824220"/>
    <w:rsid w:val="00827496"/>
    <w:rsid w:val="00834ABA"/>
    <w:rsid w:val="00851A27"/>
    <w:rsid w:val="00852945"/>
    <w:rsid w:val="0085680B"/>
    <w:rsid w:val="008624ED"/>
    <w:rsid w:val="00884B3D"/>
    <w:rsid w:val="00885BC9"/>
    <w:rsid w:val="008A075C"/>
    <w:rsid w:val="008A0930"/>
    <w:rsid w:val="008A5E1B"/>
    <w:rsid w:val="008A6110"/>
    <w:rsid w:val="008D1522"/>
    <w:rsid w:val="008D33AF"/>
    <w:rsid w:val="008D6017"/>
    <w:rsid w:val="008E4A47"/>
    <w:rsid w:val="008F577D"/>
    <w:rsid w:val="00920551"/>
    <w:rsid w:val="00946CED"/>
    <w:rsid w:val="00950CFD"/>
    <w:rsid w:val="009514EC"/>
    <w:rsid w:val="00970B81"/>
    <w:rsid w:val="009A698B"/>
    <w:rsid w:val="009B16CC"/>
    <w:rsid w:val="009B5EB4"/>
    <w:rsid w:val="009D6D79"/>
    <w:rsid w:val="00A017F7"/>
    <w:rsid w:val="00A0719B"/>
    <w:rsid w:val="00A17B3A"/>
    <w:rsid w:val="00A22919"/>
    <w:rsid w:val="00A2731C"/>
    <w:rsid w:val="00A356D1"/>
    <w:rsid w:val="00A358F3"/>
    <w:rsid w:val="00A54F62"/>
    <w:rsid w:val="00A622F1"/>
    <w:rsid w:val="00A62FB5"/>
    <w:rsid w:val="00A63FFD"/>
    <w:rsid w:val="00A7046A"/>
    <w:rsid w:val="00AB470C"/>
    <w:rsid w:val="00AC4511"/>
    <w:rsid w:val="00AD3073"/>
    <w:rsid w:val="00AE4638"/>
    <w:rsid w:val="00AE7179"/>
    <w:rsid w:val="00AF275F"/>
    <w:rsid w:val="00B02907"/>
    <w:rsid w:val="00B060CC"/>
    <w:rsid w:val="00B100D8"/>
    <w:rsid w:val="00B513F4"/>
    <w:rsid w:val="00B656F8"/>
    <w:rsid w:val="00B664B3"/>
    <w:rsid w:val="00B73969"/>
    <w:rsid w:val="00B75930"/>
    <w:rsid w:val="00B81FCE"/>
    <w:rsid w:val="00B87E59"/>
    <w:rsid w:val="00BA6469"/>
    <w:rsid w:val="00BB58D1"/>
    <w:rsid w:val="00BB6932"/>
    <w:rsid w:val="00BC0A9C"/>
    <w:rsid w:val="00BD3EDE"/>
    <w:rsid w:val="00BF006D"/>
    <w:rsid w:val="00BF23A9"/>
    <w:rsid w:val="00C01A1B"/>
    <w:rsid w:val="00C12136"/>
    <w:rsid w:val="00C146F0"/>
    <w:rsid w:val="00C149F5"/>
    <w:rsid w:val="00C15BC2"/>
    <w:rsid w:val="00C249B2"/>
    <w:rsid w:val="00C42F06"/>
    <w:rsid w:val="00C52252"/>
    <w:rsid w:val="00C52D0B"/>
    <w:rsid w:val="00C65013"/>
    <w:rsid w:val="00C73C17"/>
    <w:rsid w:val="00C7743D"/>
    <w:rsid w:val="00C90729"/>
    <w:rsid w:val="00C90C53"/>
    <w:rsid w:val="00C95DA9"/>
    <w:rsid w:val="00CC0E41"/>
    <w:rsid w:val="00CC10DF"/>
    <w:rsid w:val="00CC5E5E"/>
    <w:rsid w:val="00CC7D0D"/>
    <w:rsid w:val="00CD3702"/>
    <w:rsid w:val="00CE1860"/>
    <w:rsid w:val="00D24D6F"/>
    <w:rsid w:val="00D27ABD"/>
    <w:rsid w:val="00D40772"/>
    <w:rsid w:val="00D53067"/>
    <w:rsid w:val="00D653A2"/>
    <w:rsid w:val="00D65F29"/>
    <w:rsid w:val="00D8036E"/>
    <w:rsid w:val="00D8081D"/>
    <w:rsid w:val="00D93E8B"/>
    <w:rsid w:val="00D973CC"/>
    <w:rsid w:val="00DE5DD3"/>
    <w:rsid w:val="00DE72EE"/>
    <w:rsid w:val="00E57C8D"/>
    <w:rsid w:val="00E834EB"/>
    <w:rsid w:val="00EA3BC8"/>
    <w:rsid w:val="00EB532A"/>
    <w:rsid w:val="00EC0395"/>
    <w:rsid w:val="00EE64A7"/>
    <w:rsid w:val="00F03D40"/>
    <w:rsid w:val="00F05125"/>
    <w:rsid w:val="00F06EA6"/>
    <w:rsid w:val="00F11DFF"/>
    <w:rsid w:val="00F44B34"/>
    <w:rsid w:val="00F53300"/>
    <w:rsid w:val="00F66AC7"/>
    <w:rsid w:val="00F7595C"/>
    <w:rsid w:val="00F77F06"/>
    <w:rsid w:val="00FC4238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6928</Words>
  <Characters>41806</Characters>
  <Application>Microsoft Office Word</Application>
  <DocSecurity>0</DocSecurity>
  <Lines>348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65</cp:revision>
  <cp:lastPrinted>2014-04-09T09:35:00Z</cp:lastPrinted>
  <dcterms:created xsi:type="dcterms:W3CDTF">2015-03-24T12:02:00Z</dcterms:created>
  <dcterms:modified xsi:type="dcterms:W3CDTF">2015-04-01T07:53:00Z</dcterms:modified>
</cp:coreProperties>
</file>